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35A49">
      <w:pPr>
        <w:widowControl w:val="0"/>
        <w:spacing w:line="560" w:lineRule="exact"/>
        <w:jc w:val="center"/>
        <w:outlineLvl w:val="0"/>
        <w:rPr>
          <w:rFonts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w:t>
      </w:r>
      <w:r>
        <w:rPr>
          <w:rFonts w:ascii="Times New Roman" w:hAnsi="Times New Roman" w:eastAsia="方正小标宋简体" w:cs="方正小标宋简体"/>
          <w:color w:val="000000"/>
          <w:sz w:val="44"/>
          <w:szCs w:val="44"/>
        </w:rPr>
        <w:t>兵团绿洲灌区供</w:t>
      </w:r>
      <w:r>
        <w:rPr>
          <w:rFonts w:hint="eastAsia" w:ascii="Times New Roman" w:hAnsi="Times New Roman" w:eastAsia="方正小标宋简体" w:cs="方正小标宋简体"/>
          <w:color w:val="000000"/>
          <w:sz w:val="44"/>
          <w:szCs w:val="44"/>
        </w:rPr>
        <w:t>用</w:t>
      </w:r>
      <w:r>
        <w:rPr>
          <w:rFonts w:ascii="Times New Roman" w:hAnsi="Times New Roman" w:eastAsia="方正小标宋简体" w:cs="方正小标宋简体"/>
          <w:color w:val="000000"/>
          <w:sz w:val="44"/>
          <w:szCs w:val="44"/>
        </w:rPr>
        <w:t>水全过程协同调控与</w:t>
      </w:r>
    </w:p>
    <w:p w14:paraId="050A1B24">
      <w:pPr>
        <w:widowControl w:val="0"/>
        <w:spacing w:line="560" w:lineRule="exact"/>
        <w:jc w:val="center"/>
        <w:outlineLvl w:val="0"/>
        <w:rPr>
          <w:rFonts w:ascii="Times New Roman" w:hAnsi="Times New Roman" w:eastAsia="方正小标宋简体" w:cs="方正小标宋简体"/>
          <w:color w:val="000000"/>
          <w:sz w:val="44"/>
          <w:szCs w:val="44"/>
        </w:rPr>
      </w:pPr>
      <w:r>
        <w:rPr>
          <w:rFonts w:ascii="Times New Roman" w:hAnsi="Times New Roman" w:eastAsia="方正小标宋简体" w:cs="方正小标宋简体"/>
          <w:color w:val="000000"/>
          <w:sz w:val="44"/>
          <w:szCs w:val="44"/>
        </w:rPr>
        <w:t>节水增效关键技术研究</w:t>
      </w:r>
      <w:r>
        <w:rPr>
          <w:rFonts w:hint="eastAsia" w:ascii="Times New Roman" w:hAnsi="Times New Roman" w:eastAsia="方正小标宋简体" w:cs="方正小标宋简体"/>
          <w:color w:val="000000"/>
          <w:sz w:val="44"/>
          <w:szCs w:val="44"/>
        </w:rPr>
        <w:t>”项目榜单</w:t>
      </w:r>
    </w:p>
    <w:p w14:paraId="60E330DB">
      <w:pPr>
        <w:pStyle w:val="6"/>
        <w:spacing w:after="0" w:line="600" w:lineRule="exact"/>
        <w:ind w:firstLine="0" w:firstLineChars="0"/>
        <w:jc w:val="center"/>
        <w:rPr>
          <w:rFonts w:ascii="仿宋_GB2312" w:hAnsi="仿宋_GB2312" w:eastAsia="仿宋_GB2312" w:cs="仿宋_GB2312"/>
          <w:sz w:val="32"/>
          <w:szCs w:val="32"/>
        </w:rPr>
      </w:pPr>
      <w:r>
        <w:rPr>
          <w:rFonts w:ascii="Times New Roman" w:hAnsi="Times New Roman" w:eastAsia="方正小标宋_GBK" w:cs="Times New Roman"/>
          <w:sz w:val="32"/>
          <w:szCs w:val="32"/>
        </w:rPr>
        <w:t>——</w:t>
      </w:r>
      <w:r>
        <w:rPr>
          <w:rFonts w:hint="eastAsia" w:ascii="Times New Roman" w:hAnsi="Times New Roman" w:eastAsia="楷体_GB2312" w:cs="楷体_GB2312"/>
          <w:sz w:val="32"/>
          <w:szCs w:val="32"/>
        </w:rPr>
        <w:t>第五批新疆重大需求人才支持计划</w:t>
      </w:r>
    </w:p>
    <w:p w14:paraId="0B9486FE">
      <w:pPr>
        <w:pStyle w:val="6"/>
        <w:spacing w:after="0" w:line="578" w:lineRule="exact"/>
        <w:ind w:firstLine="640" w:firstLineChars="200"/>
        <w:rPr>
          <w:rFonts w:ascii="仿宋_GB2312" w:hAnsi="仿宋_GB2312" w:eastAsia="仿宋_GB2312" w:cs="仿宋_GB2312"/>
          <w:sz w:val="32"/>
          <w:szCs w:val="32"/>
        </w:rPr>
      </w:pPr>
    </w:p>
    <w:p w14:paraId="241EB424">
      <w:pPr>
        <w:pStyle w:val="6"/>
        <w:spacing w:after="0"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第五批新疆重点人才计划重大需求项目申报指南》有关规定，与兵团党委人才工作领导小组办公室沟通一致，经新疆生产建设兵团水利局党组审定通过，现将“兵团绿洲灌区供用水全过程协同调控与节水增效关键技术研究”项目榜单予以发布，诚邀海内外英才揭榜攻关。具体内容如下。</w:t>
      </w:r>
    </w:p>
    <w:p w14:paraId="71D3F29A">
      <w:pPr>
        <w:pStyle w:val="2"/>
        <w:widowControl w:val="0"/>
        <w:tabs>
          <w:tab w:val="left" w:pos="4972"/>
        </w:tabs>
        <w:spacing w:line="560" w:lineRule="exact"/>
        <w:ind w:firstLine="640"/>
        <w:outlineLvl w:val="0"/>
        <w:rPr>
          <w:rFonts w:ascii="Times New Roman" w:hAnsi="Times New Roman" w:cs="仿宋_GB2312"/>
          <w:sz w:val="32"/>
          <w:szCs w:val="32"/>
        </w:rPr>
      </w:pPr>
      <w:r>
        <w:rPr>
          <w:rFonts w:hint="eastAsia" w:ascii="Times New Roman" w:hAnsi="Times New Roman" w:eastAsia="黑体" w:cs="黑体"/>
          <w:sz w:val="32"/>
          <w:szCs w:val="32"/>
        </w:rPr>
        <w:t>一、攻关任务与目标</w:t>
      </w:r>
    </w:p>
    <w:p w14:paraId="10EEB0EE">
      <w:pPr>
        <w:pStyle w:val="6"/>
        <w:spacing w:after="0" w:line="578" w:lineRule="exact"/>
        <w:ind w:firstLine="640" w:firstLineChars="200"/>
        <w:outlineLvl w:val="1"/>
        <w:rPr>
          <w:rFonts w:ascii="Times New Roman" w:hAnsi="Times New Roman" w:eastAsia="楷体_GB2312" w:cs="Times New Roman"/>
          <w:sz w:val="32"/>
          <w:szCs w:val="28"/>
        </w:rPr>
      </w:pPr>
      <w:r>
        <w:rPr>
          <w:rFonts w:ascii="Times New Roman" w:hAnsi="Times New Roman" w:eastAsia="楷体_GB2312" w:cs="Times New Roman"/>
          <w:sz w:val="32"/>
          <w:szCs w:val="28"/>
        </w:rPr>
        <w:t>（一）总体目标</w:t>
      </w:r>
    </w:p>
    <w:p w14:paraId="41403CC0">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面向兵团农业节水增效新高地建设需求，围绕灌区“水源</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需水</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调配</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输配”全过程，突破4项制约节水增效新高地建设的关键技术，依托兵团新高地试验区建成集成示范区</w:t>
      </w:r>
      <w:r>
        <w:rPr>
          <w:rFonts w:hint="eastAsia" w:ascii="Times New Roman" w:hAnsi="Times New Roman" w:eastAsia="仿宋_GB2312" w:cs="Times New Roman"/>
          <w:sz w:val="32"/>
          <w:szCs w:val="28"/>
        </w:rPr>
        <w:t>不少于</w:t>
      </w:r>
      <w:r>
        <w:rPr>
          <w:rFonts w:ascii="Times New Roman" w:hAnsi="Times New Roman" w:eastAsia="仿宋_GB2312" w:cs="Times New Roman"/>
          <w:sz w:val="32"/>
          <w:szCs w:val="28"/>
        </w:rPr>
        <w:t>1处，</w:t>
      </w:r>
      <w:r>
        <w:rPr>
          <w:rFonts w:hint="eastAsia" w:ascii="Times New Roman" w:hAnsi="Times New Roman" w:eastAsia="仿宋_GB2312" w:cs="Times New Roman"/>
          <w:sz w:val="32"/>
          <w:szCs w:val="28"/>
        </w:rPr>
        <w:t>形成</w:t>
      </w:r>
      <w:r>
        <w:rPr>
          <w:rFonts w:ascii="Times New Roman" w:hAnsi="Times New Roman" w:eastAsia="仿宋_GB2312" w:cs="Times New Roman"/>
          <w:sz w:val="32"/>
          <w:szCs w:val="28"/>
        </w:rPr>
        <w:t>可复制推广的</w:t>
      </w:r>
      <w:r>
        <w:rPr>
          <w:rFonts w:hint="eastAsia" w:ascii="Times New Roman" w:hAnsi="Times New Roman" w:eastAsia="仿宋_GB2312" w:cs="Times New Roman"/>
          <w:sz w:val="32"/>
          <w:szCs w:val="28"/>
        </w:rPr>
        <w:t>农业</w:t>
      </w:r>
      <w:r>
        <w:rPr>
          <w:rFonts w:ascii="Times New Roman" w:hAnsi="Times New Roman" w:eastAsia="仿宋_GB2312" w:cs="Times New Roman"/>
          <w:sz w:val="32"/>
          <w:szCs w:val="28"/>
        </w:rPr>
        <w:t>节水增效集成模式1套。培养高水平创新团队1支，帮带培养兵团本土技术骨干。</w:t>
      </w:r>
    </w:p>
    <w:p w14:paraId="41492A7C">
      <w:pPr>
        <w:pStyle w:val="6"/>
        <w:spacing w:after="0" w:line="578" w:lineRule="exact"/>
        <w:ind w:firstLine="640" w:firstLineChars="200"/>
        <w:outlineLvl w:val="1"/>
        <w:rPr>
          <w:rFonts w:ascii="Times New Roman" w:hAnsi="Times New Roman" w:eastAsia="楷体_GB2312" w:cs="Times New Roman"/>
          <w:sz w:val="32"/>
          <w:szCs w:val="28"/>
        </w:rPr>
      </w:pPr>
      <w:r>
        <w:rPr>
          <w:rFonts w:ascii="Times New Roman" w:hAnsi="Times New Roman" w:eastAsia="楷体_GB2312" w:cs="Times New Roman"/>
          <w:sz w:val="32"/>
          <w:szCs w:val="28"/>
        </w:rPr>
        <w:t>（</w:t>
      </w:r>
      <w:r>
        <w:rPr>
          <w:rFonts w:hint="eastAsia" w:ascii="Times New Roman" w:hAnsi="Times New Roman" w:eastAsia="楷体_GB2312" w:cs="Times New Roman"/>
          <w:sz w:val="32"/>
          <w:szCs w:val="28"/>
        </w:rPr>
        <w:t>二</w:t>
      </w:r>
      <w:r>
        <w:rPr>
          <w:rFonts w:ascii="Times New Roman" w:hAnsi="Times New Roman" w:eastAsia="楷体_GB2312" w:cs="Times New Roman"/>
          <w:sz w:val="32"/>
          <w:szCs w:val="28"/>
        </w:rPr>
        <w:t>）</w:t>
      </w:r>
      <w:r>
        <w:rPr>
          <w:rFonts w:hint="eastAsia" w:ascii="Times New Roman" w:hAnsi="Times New Roman" w:eastAsia="楷体_GB2312" w:cs="Times New Roman"/>
          <w:sz w:val="32"/>
          <w:szCs w:val="28"/>
        </w:rPr>
        <w:t>核心攻关任务</w:t>
      </w:r>
      <w:r>
        <w:rPr>
          <w:rFonts w:ascii="Times New Roman" w:hAnsi="Times New Roman" w:eastAsia="楷体_GB2312" w:cs="Times New Roman"/>
          <w:sz w:val="32"/>
          <w:szCs w:val="28"/>
        </w:rPr>
        <w:t>和成果</w:t>
      </w:r>
      <w:r>
        <w:rPr>
          <w:rFonts w:hint="eastAsia" w:ascii="Times New Roman" w:hAnsi="Times New Roman" w:eastAsia="楷体_GB2312" w:cs="Times New Roman"/>
          <w:sz w:val="32"/>
          <w:szCs w:val="28"/>
        </w:rPr>
        <w:t>目标</w:t>
      </w:r>
    </w:p>
    <w:p w14:paraId="580D94D4">
      <w:pPr>
        <w:pStyle w:val="6"/>
        <w:spacing w:after="0" w:line="578" w:lineRule="exact"/>
        <w:ind w:firstLine="643" w:firstLineChars="200"/>
        <w:rPr>
          <w:rFonts w:ascii="Times New Roman" w:hAnsi="Times New Roman" w:eastAsia="仿宋_GB2312" w:cs="Times New Roman"/>
          <w:sz w:val="32"/>
          <w:szCs w:val="28"/>
        </w:rPr>
      </w:pPr>
      <w:r>
        <w:rPr>
          <w:rFonts w:ascii="Times New Roman" w:hAnsi="Times New Roman" w:eastAsia="仿宋_GB2312" w:cs="Times New Roman"/>
          <w:b/>
          <w:bCs/>
          <w:sz w:val="32"/>
          <w:szCs w:val="28"/>
        </w:rPr>
        <w:t>1.</w:t>
      </w:r>
      <w:r>
        <w:rPr>
          <w:rFonts w:hint="eastAsia" w:ascii="Times New Roman" w:hAnsi="Times New Roman" w:eastAsia="仿宋_GB2312" w:cs="Times New Roman"/>
          <w:b/>
          <w:bCs/>
          <w:sz w:val="32"/>
          <w:szCs w:val="28"/>
        </w:rPr>
        <w:t xml:space="preserve"> </w:t>
      </w:r>
      <w:r>
        <w:rPr>
          <w:rFonts w:ascii="Times New Roman" w:hAnsi="Times New Roman" w:eastAsia="仿宋_GB2312" w:cs="Times New Roman"/>
          <w:b/>
          <w:bCs/>
          <w:sz w:val="32"/>
          <w:szCs w:val="28"/>
        </w:rPr>
        <w:t>平原水库</w:t>
      </w:r>
      <w:r>
        <w:rPr>
          <w:rFonts w:hint="eastAsia" w:ascii="Times New Roman" w:hAnsi="Times New Roman" w:eastAsia="仿宋_GB2312" w:cs="Times New Roman"/>
          <w:sz w:val="32"/>
          <w:szCs w:val="28"/>
        </w:rPr>
        <w:t>—</w:t>
      </w:r>
      <w:r>
        <w:rPr>
          <w:rFonts w:ascii="Times New Roman" w:hAnsi="Times New Roman" w:eastAsia="仿宋_GB2312" w:cs="Times New Roman"/>
          <w:b/>
          <w:bCs/>
          <w:sz w:val="32"/>
          <w:szCs w:val="28"/>
        </w:rPr>
        <w:t>大首部水沙协同调控</w:t>
      </w:r>
      <w:r>
        <w:rPr>
          <w:rFonts w:hint="eastAsia" w:ascii="Times New Roman" w:hAnsi="Times New Roman" w:eastAsia="仿宋_GB2312" w:cs="Times New Roman"/>
          <w:b/>
          <w:bCs/>
          <w:sz w:val="32"/>
          <w:szCs w:val="28"/>
        </w:rPr>
        <w:t>与</w:t>
      </w:r>
      <w:r>
        <w:rPr>
          <w:rFonts w:ascii="Times New Roman" w:hAnsi="Times New Roman" w:eastAsia="仿宋_GB2312" w:cs="Times New Roman"/>
          <w:b/>
          <w:bCs/>
          <w:sz w:val="32"/>
          <w:szCs w:val="28"/>
        </w:rPr>
        <w:t>淤积防治</w:t>
      </w:r>
      <w:r>
        <w:rPr>
          <w:rFonts w:hint="eastAsia" w:ascii="Times New Roman" w:hAnsi="Times New Roman" w:eastAsia="仿宋_GB2312" w:cs="Times New Roman"/>
          <w:b/>
          <w:bCs/>
          <w:sz w:val="32"/>
          <w:szCs w:val="28"/>
        </w:rPr>
        <w:t>关键</w:t>
      </w:r>
      <w:r>
        <w:rPr>
          <w:rFonts w:ascii="Times New Roman" w:hAnsi="Times New Roman" w:eastAsia="仿宋_GB2312" w:cs="Times New Roman"/>
          <w:b/>
          <w:bCs/>
          <w:sz w:val="32"/>
          <w:szCs w:val="28"/>
        </w:rPr>
        <w:t>技术</w:t>
      </w:r>
    </w:p>
    <w:p w14:paraId="25664294">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揭示兵团平原水库</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大首部沉砂设施淤积演化规律</w:t>
      </w:r>
      <w:r>
        <w:rPr>
          <w:rFonts w:hint="eastAsia" w:ascii="Times New Roman" w:hAnsi="Times New Roman" w:eastAsia="仿宋_GB2312" w:cs="Times New Roman"/>
          <w:sz w:val="32"/>
          <w:szCs w:val="28"/>
        </w:rPr>
        <w:t>及淤积物特性</w:t>
      </w:r>
      <w:r>
        <w:rPr>
          <w:rFonts w:ascii="Times New Roman" w:hAnsi="Times New Roman" w:eastAsia="仿宋_GB2312" w:cs="Times New Roman"/>
          <w:sz w:val="32"/>
          <w:szCs w:val="28"/>
        </w:rPr>
        <w:t>；</w:t>
      </w:r>
      <w:r>
        <w:rPr>
          <w:rFonts w:hint="eastAsia" w:ascii="Times New Roman" w:hAnsi="Times New Roman" w:eastAsia="仿宋_GB2312" w:cs="Times New Roman"/>
          <w:sz w:val="32"/>
          <w:szCs w:val="28"/>
        </w:rPr>
        <w:t>制定</w:t>
      </w:r>
      <w:r>
        <w:rPr>
          <w:rFonts w:ascii="Times New Roman" w:hAnsi="Times New Roman" w:eastAsia="仿宋_GB2312" w:cs="Times New Roman"/>
          <w:sz w:val="32"/>
          <w:szCs w:val="28"/>
        </w:rPr>
        <w:t>“拦、排、蓄、调”相结合的库</w:t>
      </w:r>
      <w:r>
        <w:rPr>
          <w:rFonts w:hint="eastAsia" w:ascii="Times New Roman" w:hAnsi="Times New Roman" w:eastAsia="仿宋_GB2312" w:cs="Times New Roman"/>
          <w:sz w:val="32"/>
          <w:szCs w:val="28"/>
        </w:rPr>
        <w:t>池</w:t>
      </w:r>
      <w:r>
        <w:rPr>
          <w:rFonts w:ascii="Times New Roman" w:hAnsi="Times New Roman" w:eastAsia="仿宋_GB2312" w:cs="Times New Roman"/>
          <w:sz w:val="32"/>
          <w:szCs w:val="28"/>
        </w:rPr>
        <w:t>系统联合排沙调度规则</w:t>
      </w:r>
      <w:r>
        <w:rPr>
          <w:rFonts w:hint="eastAsia" w:ascii="Times New Roman" w:hAnsi="Times New Roman" w:eastAsia="仿宋_GB2312" w:cs="Times New Roman"/>
          <w:sz w:val="32"/>
          <w:szCs w:val="28"/>
        </w:rPr>
        <w:t>；研发适用于兵团中小型平原水库和渠首沉砂池需求的系统性清淤技术，形成清淤工艺流程、关键作业参数与设备选型指南，并在典型工程开展现场试点验证。</w:t>
      </w:r>
    </w:p>
    <w:p w14:paraId="7CCB79CF">
      <w:pPr>
        <w:pStyle w:val="6"/>
        <w:spacing w:after="0" w:line="578" w:lineRule="exact"/>
        <w:ind w:firstLine="643" w:firstLineChars="200"/>
        <w:rPr>
          <w:rFonts w:ascii="Times New Roman" w:hAnsi="Times New Roman" w:eastAsia="仿宋_GB2312" w:cs="Times New Roman"/>
          <w:sz w:val="32"/>
          <w:szCs w:val="28"/>
        </w:rPr>
      </w:pPr>
      <w:r>
        <w:rPr>
          <w:rFonts w:hint="eastAsia" w:ascii="Times New Roman" w:hAnsi="Times New Roman" w:eastAsia="仿宋_GB2312" w:cs="Times New Roman"/>
          <w:b/>
          <w:bCs/>
          <w:sz w:val="32"/>
          <w:szCs w:val="28"/>
        </w:rPr>
        <w:t>考核成果</w:t>
      </w:r>
      <w:r>
        <w:rPr>
          <w:rFonts w:hint="eastAsia" w:ascii="Times New Roman" w:hAnsi="Times New Roman" w:eastAsia="仿宋_GB2312" w:cs="Times New Roman"/>
          <w:sz w:val="32"/>
          <w:szCs w:val="28"/>
        </w:rPr>
        <w:t>：形成库池联合排沙调度规则1套；提出中小型平原水库与沉砂池清淤系统性解决方案1套（含工艺参数与设备选型指南），现场试点条件下清淤排沙效率较传统机械清淤提升20%以上；申请发明专利1~2项、发表论文1~2篇。</w:t>
      </w:r>
    </w:p>
    <w:p w14:paraId="07DA49DA">
      <w:pPr>
        <w:pStyle w:val="6"/>
        <w:spacing w:after="0" w:line="578" w:lineRule="exact"/>
        <w:ind w:firstLine="643" w:firstLineChars="200"/>
        <w:rPr>
          <w:rFonts w:ascii="Times New Roman" w:hAnsi="Times New Roman" w:eastAsia="仿宋_GB2312" w:cs="Times New Roman"/>
          <w:b/>
          <w:bCs/>
          <w:sz w:val="32"/>
          <w:szCs w:val="28"/>
        </w:rPr>
      </w:pPr>
      <w:r>
        <w:rPr>
          <w:rFonts w:ascii="Times New Roman" w:hAnsi="Times New Roman" w:eastAsia="仿宋_GB2312" w:cs="Times New Roman"/>
          <w:b/>
          <w:bCs/>
          <w:sz w:val="32"/>
          <w:szCs w:val="28"/>
        </w:rPr>
        <w:t>2.</w:t>
      </w:r>
      <w:r>
        <w:rPr>
          <w:rFonts w:hint="eastAsia" w:ascii="Times New Roman" w:hAnsi="Times New Roman" w:eastAsia="仿宋_GB2312" w:cs="Times New Roman"/>
          <w:b/>
          <w:bCs/>
          <w:sz w:val="32"/>
          <w:szCs w:val="28"/>
        </w:rPr>
        <w:t xml:space="preserve"> </w:t>
      </w:r>
      <w:r>
        <w:rPr>
          <w:rFonts w:ascii="Times New Roman" w:hAnsi="Times New Roman" w:eastAsia="仿宋_GB2312" w:cs="Times New Roman"/>
          <w:b/>
          <w:bCs/>
          <w:sz w:val="32"/>
          <w:szCs w:val="28"/>
        </w:rPr>
        <w:t>灌区需水动态测报与作物水分胁迫快速诊断技术</w:t>
      </w:r>
    </w:p>
    <w:p w14:paraId="6BF96CB4">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研发多源遥感与地面监测融合的灌区种植结构与灌溉格局动态识别技术；构建灌区旬—月尺度需水滚动预报模型与“灌水处方”自动生成方法，为供水计划编制和轮灌排序提供输入；提出主要粮棉作物水分胁迫低成本快速诊断方法，产出灌区周尺度作物水分胁迫分级图。</w:t>
      </w:r>
    </w:p>
    <w:p w14:paraId="6E94173B">
      <w:pPr>
        <w:pStyle w:val="6"/>
        <w:spacing w:after="0" w:line="578" w:lineRule="exact"/>
        <w:ind w:firstLine="643" w:firstLineChars="200"/>
        <w:rPr>
          <w:rFonts w:ascii="Times New Roman" w:hAnsi="Times New Roman" w:eastAsia="仿宋_GB2312" w:cs="Times New Roman"/>
          <w:sz w:val="32"/>
          <w:szCs w:val="28"/>
        </w:rPr>
      </w:pPr>
      <w:r>
        <w:rPr>
          <w:rFonts w:hint="eastAsia" w:ascii="Times New Roman" w:hAnsi="Times New Roman" w:eastAsia="仿宋_GB2312" w:cs="Times New Roman"/>
          <w:b/>
          <w:bCs/>
          <w:sz w:val="32"/>
          <w:szCs w:val="28"/>
        </w:rPr>
        <w:t>考核成果</w:t>
      </w:r>
      <w:r>
        <w:rPr>
          <w:rFonts w:hint="eastAsia" w:ascii="Times New Roman" w:hAnsi="Times New Roman" w:eastAsia="仿宋_GB2312" w:cs="Times New Roman"/>
          <w:sz w:val="32"/>
          <w:szCs w:val="28"/>
        </w:rPr>
        <w:t>：种植结构遥感识别模型1个（识别精度≥90%）；灌区需水动态测报模型1个，作物水分胁迫分级诊断技术流程及配套软件工具1套（登记软著1~2项）；发表论文1~2篇。</w:t>
      </w:r>
    </w:p>
    <w:p w14:paraId="6B99B2A7">
      <w:pPr>
        <w:pStyle w:val="6"/>
        <w:spacing w:after="0" w:line="578" w:lineRule="exact"/>
        <w:ind w:firstLine="643" w:firstLineChars="200"/>
        <w:rPr>
          <w:rFonts w:ascii="Times New Roman" w:hAnsi="Times New Roman" w:eastAsia="仿宋_GB2312" w:cs="Times New Roman"/>
          <w:b/>
          <w:bCs/>
          <w:sz w:val="32"/>
          <w:szCs w:val="28"/>
        </w:rPr>
      </w:pPr>
      <w:r>
        <w:rPr>
          <w:rFonts w:ascii="Times New Roman" w:hAnsi="Times New Roman" w:eastAsia="仿宋_GB2312" w:cs="Times New Roman"/>
          <w:b/>
          <w:bCs/>
          <w:sz w:val="32"/>
          <w:szCs w:val="28"/>
        </w:rPr>
        <w:t>3.</w:t>
      </w:r>
      <w:r>
        <w:rPr>
          <w:rFonts w:hint="eastAsia" w:ascii="Times New Roman" w:hAnsi="Times New Roman" w:eastAsia="仿宋_GB2312" w:cs="Times New Roman"/>
          <w:b/>
          <w:bCs/>
          <w:sz w:val="32"/>
          <w:szCs w:val="28"/>
        </w:rPr>
        <w:t xml:space="preserve"> </w:t>
      </w:r>
      <w:r>
        <w:rPr>
          <w:rFonts w:ascii="Times New Roman" w:hAnsi="Times New Roman" w:eastAsia="仿宋_GB2312" w:cs="Times New Roman"/>
          <w:b/>
          <w:bCs/>
          <w:sz w:val="32"/>
          <w:szCs w:val="28"/>
        </w:rPr>
        <w:t>灌区水土资源协同配置与地表水—地下水联合调控关键技术</w:t>
      </w:r>
    </w:p>
    <w:p w14:paraId="1E7D1F1A">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开展典型灌区土地利用与种植结构演变规律分析、水土资源匹配度定量评价，构建面向“以水定地”的灌区多水源多目标水土资源协同配置模型；开展地下水超采区时空演变识别、压采潜力测算与管控阈值分区量化；构建地表水—地下水联合调度模型，编制不同水文年型（平水年、枯水年）联合调度方案。</w:t>
      </w:r>
    </w:p>
    <w:p w14:paraId="08B75BC6">
      <w:pPr>
        <w:pStyle w:val="6"/>
        <w:spacing w:after="0" w:line="578" w:lineRule="exact"/>
        <w:ind w:firstLine="643" w:firstLineChars="200"/>
        <w:rPr>
          <w:rFonts w:ascii="Times New Roman" w:hAnsi="Times New Roman" w:eastAsia="仿宋_GB2312" w:cs="Times New Roman"/>
          <w:sz w:val="32"/>
          <w:szCs w:val="28"/>
        </w:rPr>
      </w:pPr>
      <w:r>
        <w:rPr>
          <w:rFonts w:hint="eastAsia" w:ascii="Times New Roman" w:hAnsi="Times New Roman" w:eastAsia="仿宋_GB2312" w:cs="Times New Roman"/>
          <w:b/>
          <w:bCs/>
          <w:sz w:val="32"/>
          <w:szCs w:val="28"/>
        </w:rPr>
        <w:t>考核成果：</w:t>
      </w:r>
      <w:r>
        <w:rPr>
          <w:rFonts w:hint="eastAsia" w:ascii="Times New Roman" w:hAnsi="Times New Roman" w:eastAsia="仿宋_GB2312" w:cs="Times New Roman"/>
          <w:sz w:val="32"/>
          <w:szCs w:val="28"/>
        </w:rPr>
        <w:t>水土资源匹配度评价与种植结构调控建议报告1份；“以水定地”配置模型及方案1套；地下水超采治理与压采置换技术方案1套；地表水—地下水联合调度模型1个、分年型调度方案2套；提交服务兵团水资源刚性约束管理和南疆水资源保障的政策建议1~2份；发表论文2篇。</w:t>
      </w:r>
    </w:p>
    <w:p w14:paraId="77DE125C">
      <w:pPr>
        <w:pStyle w:val="6"/>
        <w:spacing w:after="0" w:line="578" w:lineRule="exact"/>
        <w:ind w:firstLine="643" w:firstLineChars="200"/>
        <w:rPr>
          <w:rFonts w:ascii="Times New Roman" w:hAnsi="Times New Roman" w:eastAsia="仿宋_GB2312" w:cs="Times New Roman"/>
          <w:b/>
          <w:bCs/>
          <w:sz w:val="32"/>
          <w:szCs w:val="28"/>
        </w:rPr>
      </w:pPr>
      <w:r>
        <w:rPr>
          <w:rFonts w:ascii="Times New Roman" w:hAnsi="Times New Roman" w:eastAsia="仿宋_GB2312" w:cs="Times New Roman"/>
          <w:b/>
          <w:bCs/>
          <w:sz w:val="32"/>
          <w:szCs w:val="28"/>
        </w:rPr>
        <w:t>4.</w:t>
      </w:r>
      <w:r>
        <w:rPr>
          <w:rFonts w:hint="eastAsia" w:ascii="Times New Roman" w:hAnsi="Times New Roman" w:eastAsia="仿宋_GB2312" w:cs="Times New Roman"/>
          <w:b/>
          <w:bCs/>
          <w:sz w:val="32"/>
          <w:szCs w:val="28"/>
        </w:rPr>
        <w:t xml:space="preserve"> </w:t>
      </w:r>
      <w:r>
        <w:rPr>
          <w:rFonts w:ascii="Times New Roman" w:hAnsi="Times New Roman" w:eastAsia="仿宋_GB2312" w:cs="Times New Roman"/>
          <w:b/>
          <w:bCs/>
          <w:sz w:val="32"/>
          <w:szCs w:val="28"/>
        </w:rPr>
        <w:t>多层级高含沙输配水管网智能调度与安全运行关键技术</w:t>
      </w:r>
    </w:p>
    <w:p w14:paraId="21237667">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揭示高含沙水流条件下管网堵塞、水击、气阻、漏损等灾害动态演化机制；</w:t>
      </w:r>
      <w:r>
        <w:rPr>
          <w:rFonts w:hint="eastAsia" w:ascii="Times New Roman" w:hAnsi="Times New Roman" w:eastAsia="仿宋_GB2312" w:cs="Times New Roman"/>
          <w:sz w:val="32"/>
          <w:szCs w:val="28"/>
        </w:rPr>
        <w:t>研发</w:t>
      </w:r>
      <w:r>
        <w:rPr>
          <w:rFonts w:ascii="Times New Roman" w:hAnsi="Times New Roman" w:eastAsia="仿宋_GB2312" w:cs="Times New Roman"/>
          <w:sz w:val="32"/>
          <w:szCs w:val="28"/>
        </w:rPr>
        <w:t>多层级管网非恒定流仿真与水力模拟技术；融合需水测报与配置计划，研发集成“监测—模拟—调控”一体化的</w:t>
      </w:r>
      <w:r>
        <w:rPr>
          <w:rFonts w:hint="eastAsia" w:ascii="Times New Roman" w:hAnsi="Times New Roman" w:eastAsia="仿宋_GB2312" w:cs="Times New Roman"/>
          <w:sz w:val="32"/>
          <w:szCs w:val="28"/>
        </w:rPr>
        <w:t>灌区</w:t>
      </w:r>
      <w:r>
        <w:rPr>
          <w:rFonts w:ascii="Times New Roman" w:hAnsi="Times New Roman" w:eastAsia="仿宋_GB2312" w:cs="Times New Roman"/>
          <w:sz w:val="32"/>
          <w:szCs w:val="28"/>
        </w:rPr>
        <w:t>管网智能调度算法；研发管网风险智能预警</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漏损快速定位与</w:t>
      </w:r>
      <w:r>
        <w:rPr>
          <w:rFonts w:hint="eastAsia" w:ascii="Times New Roman" w:hAnsi="Times New Roman" w:eastAsia="仿宋_GB2312" w:cs="Times New Roman"/>
          <w:sz w:val="32"/>
          <w:szCs w:val="28"/>
        </w:rPr>
        <w:t>应急处置</w:t>
      </w:r>
      <w:r>
        <w:rPr>
          <w:rFonts w:ascii="Times New Roman" w:hAnsi="Times New Roman" w:eastAsia="仿宋_GB2312" w:cs="Times New Roman"/>
          <w:sz w:val="32"/>
          <w:szCs w:val="28"/>
        </w:rPr>
        <w:t>技术。</w:t>
      </w:r>
    </w:p>
    <w:p w14:paraId="144CDCA3">
      <w:pPr>
        <w:pStyle w:val="6"/>
        <w:spacing w:after="0" w:line="578" w:lineRule="exact"/>
        <w:ind w:firstLine="643" w:firstLineChars="200"/>
        <w:rPr>
          <w:rFonts w:ascii="Times New Roman" w:hAnsi="Times New Roman" w:eastAsia="仿宋_GB2312" w:cs="Times New Roman"/>
          <w:sz w:val="32"/>
          <w:szCs w:val="28"/>
        </w:rPr>
      </w:pPr>
      <w:r>
        <w:rPr>
          <w:rFonts w:ascii="Times New Roman" w:hAnsi="Times New Roman" w:eastAsia="仿宋_GB2312" w:cs="Times New Roman"/>
          <w:b/>
          <w:bCs/>
          <w:sz w:val="32"/>
          <w:szCs w:val="28"/>
        </w:rPr>
        <w:t>考核成果</w:t>
      </w:r>
      <w:r>
        <w:rPr>
          <w:rFonts w:ascii="Times New Roman" w:hAnsi="Times New Roman" w:eastAsia="仿宋_GB2312" w:cs="Times New Roman"/>
          <w:sz w:val="32"/>
          <w:szCs w:val="28"/>
        </w:rPr>
        <w:t>：管网水力仿真</w:t>
      </w:r>
      <w:r>
        <w:rPr>
          <w:rFonts w:hint="eastAsia" w:ascii="Times New Roman" w:hAnsi="Times New Roman" w:eastAsia="仿宋_GB2312" w:cs="Times New Roman"/>
          <w:sz w:val="32"/>
          <w:szCs w:val="28"/>
        </w:rPr>
        <w:t>、智能调度</w:t>
      </w:r>
      <w:r>
        <w:rPr>
          <w:rFonts w:ascii="Times New Roman" w:hAnsi="Times New Roman" w:eastAsia="仿宋_GB2312" w:cs="Times New Roman"/>
          <w:sz w:val="32"/>
          <w:szCs w:val="28"/>
        </w:rPr>
        <w:t>与风险评估</w:t>
      </w:r>
      <w:r>
        <w:rPr>
          <w:rFonts w:hint="eastAsia" w:ascii="Times New Roman" w:hAnsi="Times New Roman" w:eastAsia="仿宋_GB2312" w:cs="Times New Roman"/>
          <w:sz w:val="32"/>
          <w:szCs w:val="28"/>
        </w:rPr>
        <w:t>模型</w:t>
      </w:r>
      <w:r>
        <w:rPr>
          <w:rFonts w:ascii="Times New Roman" w:hAnsi="Times New Roman" w:eastAsia="仿宋_GB2312" w:cs="Times New Roman"/>
          <w:sz w:val="32"/>
          <w:szCs w:val="28"/>
        </w:rPr>
        <w:t>1</w:t>
      </w:r>
      <w:r>
        <w:rPr>
          <w:rFonts w:hint="eastAsia" w:ascii="Times New Roman" w:hAnsi="Times New Roman" w:eastAsia="仿宋_GB2312" w:cs="Times New Roman"/>
          <w:sz w:val="32"/>
          <w:szCs w:val="28"/>
        </w:rPr>
        <w:t>套</w:t>
      </w:r>
      <w:r>
        <w:rPr>
          <w:rFonts w:ascii="Times New Roman" w:hAnsi="Times New Roman" w:eastAsia="仿宋_GB2312" w:cs="Times New Roman"/>
          <w:sz w:val="32"/>
          <w:szCs w:val="28"/>
        </w:rPr>
        <w:t>；管网风险预警与漏损定位功能1套（漏损定位精度≥85%）；申请发明专利1～2项、登记软著1项。</w:t>
      </w:r>
    </w:p>
    <w:p w14:paraId="788811A4">
      <w:pPr>
        <w:pStyle w:val="6"/>
        <w:spacing w:after="0" w:line="578" w:lineRule="exact"/>
        <w:ind w:firstLine="640" w:firstLineChars="200"/>
        <w:rPr>
          <w:rFonts w:hint="eastAsia" w:ascii="Times New Roman" w:hAnsi="Times New Roman" w:eastAsia="仿宋_GB2312" w:cs="Times New Roman"/>
          <w:sz w:val="32"/>
          <w:szCs w:val="28"/>
        </w:rPr>
      </w:pPr>
      <w:r>
        <w:rPr>
          <w:rFonts w:ascii="Times New Roman" w:hAnsi="Times New Roman" w:eastAsia="仿宋_GB2312" w:cs="Times New Roman"/>
          <w:sz w:val="32"/>
          <w:szCs w:val="28"/>
        </w:rPr>
        <w:t>项目成果知识产权须归兵团与揭榜团队共有。</w:t>
      </w:r>
    </w:p>
    <w:p w14:paraId="24CCA54E">
      <w:pPr>
        <w:pStyle w:val="2"/>
        <w:widowControl w:val="0"/>
        <w:tabs>
          <w:tab w:val="left" w:pos="4972"/>
        </w:tabs>
        <w:spacing w:line="560" w:lineRule="exact"/>
        <w:ind w:firstLine="640"/>
        <w:outlineLvl w:val="0"/>
        <w:rPr>
          <w:rFonts w:ascii="Times New Roman" w:hAnsi="Times New Roman" w:cs="仿宋_GB2312"/>
          <w:sz w:val="32"/>
          <w:szCs w:val="32"/>
        </w:rPr>
      </w:pPr>
      <w:r>
        <w:rPr>
          <w:rFonts w:hint="eastAsia" w:ascii="Times New Roman" w:hAnsi="Times New Roman" w:eastAsia="黑体" w:cs="黑体"/>
          <w:sz w:val="32"/>
          <w:szCs w:val="32"/>
        </w:rPr>
        <w:t>二、申报主体</w:t>
      </w:r>
    </w:p>
    <w:p w14:paraId="0F32171A">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楷体_GB2312" w:cs="Times New Roman"/>
          <w:sz w:val="32"/>
          <w:szCs w:val="28"/>
        </w:rPr>
        <w:t>（一）团队领衔人要求</w:t>
      </w:r>
    </w:p>
    <w:p w14:paraId="714EC654">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团队领衔人应</w:t>
      </w:r>
      <w:r>
        <w:rPr>
          <w:rFonts w:ascii="Times New Roman" w:hAnsi="Times New Roman" w:eastAsia="仿宋_GB2312" w:cs="Times New Roman"/>
          <w:sz w:val="32"/>
          <w:szCs w:val="28"/>
        </w:rPr>
        <w:t>政治立场坚定，拥护党的领导和新时代党的治疆方略，无科研失信记录。应具有正高级专业技术职称</w:t>
      </w:r>
      <w:r>
        <w:rPr>
          <w:rFonts w:hint="eastAsia" w:ascii="Times New Roman" w:hAnsi="Times New Roman" w:eastAsia="仿宋_GB2312" w:cs="Times New Roman"/>
          <w:sz w:val="32"/>
          <w:szCs w:val="28"/>
        </w:rPr>
        <w:t>和博士学位</w:t>
      </w:r>
      <w:r>
        <w:rPr>
          <w:rFonts w:ascii="Times New Roman" w:hAnsi="Times New Roman" w:eastAsia="仿宋_GB2312" w:cs="Times New Roman"/>
          <w:sz w:val="32"/>
          <w:szCs w:val="28"/>
        </w:rPr>
        <w:t>，年龄</w:t>
      </w:r>
      <w:r>
        <w:rPr>
          <w:rFonts w:hint="eastAsia" w:ascii="Times New Roman" w:hAnsi="Times New Roman" w:eastAsia="仿宋_GB2312" w:cs="Times New Roman"/>
          <w:sz w:val="32"/>
          <w:szCs w:val="28"/>
        </w:rPr>
        <w:t>原则上不超过55岁</w:t>
      </w:r>
      <w:r>
        <w:rPr>
          <w:rFonts w:ascii="Times New Roman" w:hAnsi="Times New Roman" w:eastAsia="仿宋_GB2312" w:cs="Times New Roman"/>
          <w:sz w:val="32"/>
          <w:szCs w:val="28"/>
        </w:rPr>
        <w:t>（国家级领军人才、两院院士可适当放宽），能够全程实质性主持项目实施。</w:t>
      </w:r>
    </w:p>
    <w:p w14:paraId="4C323514">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领衔人应</w:t>
      </w:r>
      <w:r>
        <w:rPr>
          <w:rFonts w:ascii="Times New Roman" w:hAnsi="Times New Roman" w:eastAsia="仿宋_GB2312" w:cs="Times New Roman"/>
          <w:sz w:val="32"/>
          <w:szCs w:val="28"/>
        </w:rPr>
        <w:t>长期从事农业水土工程、水文水资源等相关领域研究，</w:t>
      </w:r>
      <w:r>
        <w:rPr>
          <w:rFonts w:hint="eastAsia" w:ascii="Times New Roman" w:hAnsi="Times New Roman" w:eastAsia="仿宋_GB2312" w:cs="Times New Roman"/>
          <w:sz w:val="32"/>
          <w:szCs w:val="28"/>
        </w:rPr>
        <w:t>主持过</w:t>
      </w:r>
      <w:r>
        <w:rPr>
          <w:rFonts w:ascii="Times New Roman" w:hAnsi="Times New Roman" w:eastAsia="仿宋_GB2312" w:cs="Times New Roman"/>
          <w:sz w:val="32"/>
          <w:szCs w:val="28"/>
        </w:rPr>
        <w:t>国家级</w:t>
      </w:r>
      <w:r>
        <w:rPr>
          <w:rFonts w:hint="eastAsia" w:ascii="Times New Roman" w:hAnsi="Times New Roman" w:eastAsia="仿宋_GB2312" w:cs="Times New Roman"/>
          <w:sz w:val="32"/>
          <w:szCs w:val="28"/>
        </w:rPr>
        <w:t>重大</w:t>
      </w:r>
      <w:r>
        <w:rPr>
          <w:rFonts w:ascii="Times New Roman" w:hAnsi="Times New Roman" w:eastAsia="仿宋_GB2312" w:cs="Times New Roman"/>
          <w:sz w:val="32"/>
          <w:szCs w:val="28"/>
        </w:rPr>
        <w:t>科研项目</w:t>
      </w:r>
      <w:r>
        <w:rPr>
          <w:rFonts w:hint="eastAsia" w:ascii="Times New Roman" w:hAnsi="Times New Roman" w:eastAsia="仿宋_GB2312" w:cs="Times New Roman"/>
          <w:sz w:val="32"/>
          <w:szCs w:val="28"/>
        </w:rPr>
        <w:t>（单项经费1000万元以上），或主持过国家自然科学基金重点项目及以上层次项目；</w:t>
      </w:r>
      <w:r>
        <w:rPr>
          <w:rFonts w:ascii="Times New Roman" w:hAnsi="Times New Roman" w:eastAsia="仿宋_GB2312" w:cs="Times New Roman"/>
          <w:sz w:val="32"/>
          <w:szCs w:val="28"/>
        </w:rPr>
        <w:t>具有大型灌区</w:t>
      </w:r>
      <w:r>
        <w:rPr>
          <w:rFonts w:hint="eastAsia" w:ascii="Times New Roman" w:hAnsi="Times New Roman" w:eastAsia="仿宋_GB2312" w:cs="Times New Roman"/>
          <w:sz w:val="32"/>
          <w:szCs w:val="28"/>
        </w:rPr>
        <w:t>现代化改造或</w:t>
      </w:r>
      <w:r>
        <w:rPr>
          <w:rFonts w:ascii="Times New Roman" w:hAnsi="Times New Roman" w:eastAsia="仿宋_GB2312" w:cs="Times New Roman"/>
          <w:sz w:val="32"/>
          <w:szCs w:val="28"/>
        </w:rPr>
        <w:t>水利信息化项目组织实施的经历，具</w:t>
      </w:r>
      <w:r>
        <w:rPr>
          <w:rFonts w:hint="eastAsia" w:ascii="Times New Roman" w:hAnsi="Times New Roman" w:eastAsia="仿宋_GB2312" w:cs="Times New Roman"/>
          <w:sz w:val="32"/>
          <w:szCs w:val="28"/>
        </w:rPr>
        <w:t>备</w:t>
      </w:r>
      <w:r>
        <w:rPr>
          <w:rFonts w:ascii="Times New Roman" w:hAnsi="Times New Roman" w:eastAsia="仿宋_GB2312" w:cs="Times New Roman"/>
          <w:sz w:val="32"/>
          <w:szCs w:val="28"/>
        </w:rPr>
        <w:t>带领多单位多学科团队协同攻关的组织</w:t>
      </w:r>
      <w:r>
        <w:rPr>
          <w:rFonts w:hint="eastAsia" w:ascii="Times New Roman" w:hAnsi="Times New Roman" w:eastAsia="仿宋_GB2312" w:cs="Times New Roman"/>
          <w:sz w:val="32"/>
          <w:szCs w:val="28"/>
        </w:rPr>
        <w:t>协调</w:t>
      </w:r>
      <w:r>
        <w:rPr>
          <w:rFonts w:ascii="Times New Roman" w:hAnsi="Times New Roman" w:eastAsia="仿宋_GB2312" w:cs="Times New Roman"/>
          <w:sz w:val="32"/>
          <w:szCs w:val="28"/>
        </w:rPr>
        <w:t>能力。</w:t>
      </w:r>
    </w:p>
    <w:p w14:paraId="33187580">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楷体_GB2312" w:cs="Times New Roman"/>
          <w:sz w:val="32"/>
          <w:szCs w:val="28"/>
        </w:rPr>
        <w:t>（二）核心成员要求</w:t>
      </w:r>
    </w:p>
    <w:p w14:paraId="18CFEB8C">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团队核心成员不少于1</w:t>
      </w:r>
      <w:r>
        <w:rPr>
          <w:rFonts w:hint="eastAsia" w:ascii="Times New Roman" w:hAnsi="Times New Roman" w:eastAsia="仿宋_GB2312" w:cs="Times New Roman"/>
          <w:sz w:val="32"/>
          <w:szCs w:val="28"/>
        </w:rPr>
        <w:t>5</w:t>
      </w:r>
      <w:r>
        <w:rPr>
          <w:rFonts w:ascii="Times New Roman" w:hAnsi="Times New Roman" w:eastAsia="仿宋_GB2312" w:cs="Times New Roman"/>
          <w:sz w:val="32"/>
          <w:szCs w:val="28"/>
        </w:rPr>
        <w:t>人（不含研究生），其中副高级及以上职称</w:t>
      </w:r>
      <w:r>
        <w:rPr>
          <w:rFonts w:hint="eastAsia" w:ascii="Times New Roman" w:hAnsi="Times New Roman" w:eastAsia="仿宋_GB2312" w:cs="Times New Roman"/>
          <w:sz w:val="32"/>
          <w:szCs w:val="28"/>
        </w:rPr>
        <w:t>人员</w:t>
      </w:r>
      <w:r>
        <w:rPr>
          <w:rFonts w:ascii="Times New Roman" w:hAnsi="Times New Roman" w:eastAsia="仿宋_GB2312" w:cs="Times New Roman"/>
          <w:sz w:val="32"/>
          <w:szCs w:val="28"/>
        </w:rPr>
        <w:t>比例不低于</w:t>
      </w:r>
      <w:r>
        <w:rPr>
          <w:rFonts w:hint="eastAsia" w:ascii="Times New Roman" w:hAnsi="Times New Roman" w:eastAsia="仿宋_GB2312" w:cs="Times New Roman"/>
          <w:sz w:val="32"/>
          <w:szCs w:val="28"/>
        </w:rPr>
        <w:t>5</w:t>
      </w:r>
      <w:r>
        <w:rPr>
          <w:rFonts w:ascii="Times New Roman" w:hAnsi="Times New Roman" w:eastAsia="仿宋_GB2312" w:cs="Times New Roman"/>
          <w:sz w:val="32"/>
          <w:szCs w:val="28"/>
        </w:rPr>
        <w:t>0%</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专业结构</w:t>
      </w:r>
      <w:r>
        <w:rPr>
          <w:rFonts w:hint="eastAsia" w:ascii="Times New Roman" w:hAnsi="Times New Roman" w:eastAsia="仿宋_GB2312" w:cs="Times New Roman"/>
          <w:sz w:val="32"/>
          <w:szCs w:val="28"/>
        </w:rPr>
        <w:t>应</w:t>
      </w:r>
      <w:r>
        <w:rPr>
          <w:rFonts w:ascii="Times New Roman" w:hAnsi="Times New Roman" w:eastAsia="仿宋_GB2312" w:cs="Times New Roman"/>
          <w:sz w:val="32"/>
          <w:szCs w:val="28"/>
        </w:rPr>
        <w:t>涵盖农业水土工程、水文水资源、</w:t>
      </w:r>
      <w:r>
        <w:rPr>
          <w:rFonts w:hint="eastAsia" w:ascii="Times New Roman" w:hAnsi="Times New Roman" w:eastAsia="仿宋_GB2312" w:cs="Times New Roman"/>
          <w:sz w:val="32"/>
          <w:szCs w:val="28"/>
        </w:rPr>
        <w:t>水利水电工程</w:t>
      </w:r>
      <w:r>
        <w:rPr>
          <w:rFonts w:ascii="Times New Roman" w:hAnsi="Times New Roman" w:eastAsia="仿宋_GB2312" w:cs="Times New Roman"/>
          <w:sz w:val="32"/>
          <w:szCs w:val="28"/>
        </w:rPr>
        <w:t>、遥感与地理信息等本项目必需的学科</w:t>
      </w:r>
      <w:r>
        <w:rPr>
          <w:rFonts w:hint="eastAsia" w:ascii="Times New Roman" w:hAnsi="Times New Roman" w:eastAsia="仿宋_GB2312" w:cs="Times New Roman"/>
          <w:sz w:val="32"/>
          <w:szCs w:val="28"/>
        </w:rPr>
        <w:t>方向</w:t>
      </w:r>
      <w:r>
        <w:rPr>
          <w:rFonts w:ascii="Times New Roman" w:hAnsi="Times New Roman" w:eastAsia="仿宋_GB2312" w:cs="Times New Roman"/>
          <w:sz w:val="32"/>
          <w:szCs w:val="28"/>
        </w:rPr>
        <w:t>，不存在明显短板。核心成员应在各自分工方向主持或主要参与过省部级以上科研项目，或在大中型灌区规划设计、</w:t>
      </w:r>
      <w:r>
        <w:rPr>
          <w:rFonts w:hint="eastAsia" w:ascii="Times New Roman" w:hAnsi="Times New Roman" w:eastAsia="仿宋_GB2312" w:cs="Times New Roman"/>
          <w:sz w:val="32"/>
          <w:szCs w:val="28"/>
        </w:rPr>
        <w:t>建设</w:t>
      </w:r>
      <w:r>
        <w:rPr>
          <w:rFonts w:ascii="Times New Roman" w:hAnsi="Times New Roman" w:eastAsia="仿宋_GB2312" w:cs="Times New Roman"/>
          <w:sz w:val="32"/>
          <w:szCs w:val="28"/>
        </w:rPr>
        <w:t>管理中有实际业绩。</w:t>
      </w:r>
    </w:p>
    <w:p w14:paraId="417E5860">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鼓励团队由顶尖专家领衔，涵盖疆</w:t>
      </w:r>
      <w:r>
        <w:rPr>
          <w:rFonts w:hint="eastAsia" w:ascii="Times New Roman" w:hAnsi="Times New Roman" w:eastAsia="仿宋_GB2312" w:cs="Times New Roman"/>
          <w:sz w:val="32"/>
          <w:szCs w:val="28"/>
        </w:rPr>
        <w:t>内外</w:t>
      </w:r>
      <w:r>
        <w:rPr>
          <w:rFonts w:ascii="Times New Roman" w:hAnsi="Times New Roman" w:eastAsia="仿宋_GB2312" w:cs="Times New Roman"/>
          <w:sz w:val="32"/>
          <w:szCs w:val="28"/>
        </w:rPr>
        <w:t>各类人才，形成优势互补格局；团队成员分工明确、任务清晰，能够对本项目</w:t>
      </w:r>
      <w:r>
        <w:rPr>
          <w:rFonts w:hint="eastAsia" w:ascii="Times New Roman" w:hAnsi="Times New Roman" w:eastAsia="仿宋_GB2312" w:cs="Times New Roman"/>
          <w:sz w:val="32"/>
          <w:szCs w:val="28"/>
        </w:rPr>
        <w:t>各</w:t>
      </w:r>
      <w:r>
        <w:rPr>
          <w:rFonts w:ascii="Times New Roman" w:hAnsi="Times New Roman" w:eastAsia="仿宋_GB2312" w:cs="Times New Roman"/>
          <w:sz w:val="32"/>
          <w:szCs w:val="28"/>
        </w:rPr>
        <w:t>研究方向实现全覆盖。</w:t>
      </w:r>
    </w:p>
    <w:p w14:paraId="6BC9E216">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楷体_GB2312" w:cs="Times New Roman"/>
          <w:sz w:val="32"/>
          <w:szCs w:val="28"/>
        </w:rPr>
        <w:t>（三）依托单位要求。</w:t>
      </w:r>
    </w:p>
    <w:p w14:paraId="05C6E4F6">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依托单位</w:t>
      </w:r>
      <w:r>
        <w:rPr>
          <w:rFonts w:ascii="Times New Roman" w:hAnsi="Times New Roman" w:eastAsia="仿宋_GB2312" w:cs="Times New Roman"/>
          <w:sz w:val="32"/>
          <w:szCs w:val="28"/>
        </w:rPr>
        <w:t>为项目实施和执行主体，须具备独立法人资格，具有良好的科研道德和社会诚信，近三年内无不良信用记录或重大违法违规行为，对所提交材料的真实性作出书面承诺。</w:t>
      </w:r>
    </w:p>
    <w:p w14:paraId="33613E19">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依托单位</w:t>
      </w:r>
      <w:r>
        <w:rPr>
          <w:rFonts w:ascii="Times New Roman" w:hAnsi="Times New Roman" w:eastAsia="仿宋_GB2312" w:cs="Times New Roman"/>
          <w:sz w:val="32"/>
          <w:szCs w:val="28"/>
        </w:rPr>
        <w:t>应拥有省部级</w:t>
      </w:r>
      <w:r>
        <w:rPr>
          <w:rFonts w:hint="eastAsia" w:ascii="Times New Roman" w:hAnsi="Times New Roman" w:eastAsia="仿宋_GB2312" w:cs="Times New Roman"/>
          <w:sz w:val="32"/>
          <w:szCs w:val="28"/>
        </w:rPr>
        <w:t>及</w:t>
      </w:r>
      <w:r>
        <w:rPr>
          <w:rFonts w:ascii="Times New Roman" w:hAnsi="Times New Roman" w:eastAsia="仿宋_GB2312" w:cs="Times New Roman"/>
          <w:sz w:val="32"/>
          <w:szCs w:val="28"/>
        </w:rPr>
        <w:t>以上相关科研平台（如国家或省部级重点实验室、工程技术研究中心、野外科学观测研究站等），在节水灌溉、泥沙运动、地下水模拟或智慧水利</w:t>
      </w:r>
      <w:r>
        <w:rPr>
          <w:rFonts w:hint="eastAsia" w:ascii="Times New Roman" w:hAnsi="Times New Roman" w:eastAsia="仿宋_GB2312" w:cs="Times New Roman"/>
          <w:sz w:val="32"/>
          <w:szCs w:val="28"/>
        </w:rPr>
        <w:t>等方向</w:t>
      </w:r>
      <w:r>
        <w:rPr>
          <w:rFonts w:ascii="Times New Roman" w:hAnsi="Times New Roman" w:eastAsia="仿宋_GB2312" w:cs="Times New Roman"/>
          <w:sz w:val="32"/>
          <w:szCs w:val="28"/>
        </w:rPr>
        <w:t>具备系统性研究基础。近</w:t>
      </w:r>
      <w:r>
        <w:rPr>
          <w:rFonts w:hint="eastAsia" w:ascii="Times New Roman" w:hAnsi="Times New Roman" w:eastAsia="仿宋_GB2312" w:cs="Times New Roman"/>
          <w:sz w:val="32"/>
          <w:szCs w:val="28"/>
        </w:rPr>
        <w:t>五</w:t>
      </w:r>
      <w:r>
        <w:rPr>
          <w:rFonts w:ascii="Times New Roman" w:hAnsi="Times New Roman" w:eastAsia="仿宋_GB2312" w:cs="Times New Roman"/>
          <w:sz w:val="32"/>
          <w:szCs w:val="28"/>
        </w:rPr>
        <w:t>年获得过与</w:t>
      </w:r>
      <w:r>
        <w:rPr>
          <w:rFonts w:hint="eastAsia" w:ascii="Times New Roman" w:hAnsi="Times New Roman" w:eastAsia="仿宋_GB2312" w:cs="Times New Roman"/>
          <w:sz w:val="32"/>
          <w:szCs w:val="28"/>
        </w:rPr>
        <w:t>本项目</w:t>
      </w:r>
      <w:r>
        <w:rPr>
          <w:rFonts w:ascii="Times New Roman" w:hAnsi="Times New Roman" w:eastAsia="仿宋_GB2312" w:cs="Times New Roman"/>
          <w:sz w:val="32"/>
          <w:szCs w:val="28"/>
        </w:rPr>
        <w:t>内容相关的省部级及以上</w:t>
      </w:r>
      <w:r>
        <w:rPr>
          <w:rFonts w:hint="eastAsia" w:ascii="Times New Roman" w:hAnsi="Times New Roman" w:eastAsia="仿宋_GB2312" w:cs="Times New Roman"/>
          <w:sz w:val="32"/>
          <w:szCs w:val="28"/>
        </w:rPr>
        <w:t>科技</w:t>
      </w:r>
      <w:r>
        <w:rPr>
          <w:rFonts w:ascii="Times New Roman" w:hAnsi="Times New Roman" w:eastAsia="仿宋_GB2312" w:cs="Times New Roman"/>
          <w:sz w:val="32"/>
          <w:szCs w:val="28"/>
        </w:rPr>
        <w:t>奖励。</w:t>
      </w:r>
    </w:p>
    <w:p w14:paraId="3D2F5768">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依托单位应财务状况良好、管理规范，具备承担千万级科研项目的财务管理</w:t>
      </w:r>
      <w:r>
        <w:rPr>
          <w:rFonts w:hint="eastAsia" w:ascii="Times New Roman" w:hAnsi="Times New Roman" w:eastAsia="仿宋_GB2312" w:cs="Times New Roman"/>
          <w:sz w:val="32"/>
          <w:szCs w:val="28"/>
        </w:rPr>
        <w:t>与</w:t>
      </w:r>
      <w:r>
        <w:rPr>
          <w:rFonts w:ascii="Times New Roman" w:hAnsi="Times New Roman" w:eastAsia="仿宋_GB2312" w:cs="Times New Roman"/>
          <w:sz w:val="32"/>
          <w:szCs w:val="28"/>
        </w:rPr>
        <w:t>后勤保障能力</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同意按规定</w:t>
      </w:r>
      <w:r>
        <w:rPr>
          <w:rFonts w:hint="eastAsia" w:ascii="Times New Roman" w:hAnsi="Times New Roman" w:eastAsia="仿宋_GB2312" w:cs="Times New Roman"/>
          <w:sz w:val="32"/>
          <w:szCs w:val="28"/>
        </w:rPr>
        <w:t>设立</w:t>
      </w:r>
      <w:r>
        <w:rPr>
          <w:rFonts w:ascii="Times New Roman" w:hAnsi="Times New Roman" w:eastAsia="仿宋_GB2312" w:cs="Times New Roman"/>
          <w:sz w:val="32"/>
          <w:szCs w:val="28"/>
        </w:rPr>
        <w:t>项目专账、专款专用。</w:t>
      </w:r>
    </w:p>
    <w:p w14:paraId="03267243">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支持以创新联合体方式揭榜。采用联合体的，成员单位原则上不超过</w:t>
      </w:r>
      <w:r>
        <w:rPr>
          <w:rFonts w:hint="eastAsia" w:ascii="Times New Roman" w:hAnsi="Times New Roman" w:eastAsia="仿宋_GB2312" w:cs="Times New Roman"/>
          <w:sz w:val="32"/>
          <w:szCs w:val="28"/>
        </w:rPr>
        <w:t>5</w:t>
      </w:r>
      <w:r>
        <w:rPr>
          <w:rFonts w:ascii="Times New Roman" w:hAnsi="Times New Roman" w:eastAsia="仿宋_GB2312" w:cs="Times New Roman"/>
          <w:sz w:val="32"/>
          <w:szCs w:val="28"/>
        </w:rPr>
        <w:t>家，由一家单位牵头并对项目负总责</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各成员单位须签订正式合作协议，明确任务分工、知识产权归属与收益分配安排，建立长效协同攻关机制。</w:t>
      </w:r>
    </w:p>
    <w:p w14:paraId="4AC9FD53">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楷体_GB2312" w:cs="Times New Roman"/>
          <w:sz w:val="32"/>
          <w:szCs w:val="28"/>
        </w:rPr>
        <w:t>（四）限制申报情形。</w:t>
      </w:r>
    </w:p>
    <w:p w14:paraId="1079168E">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有以下情形之一的，不得参与揭榜：</w:t>
      </w:r>
    </w:p>
    <w:p w14:paraId="06C95287">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（1）</w:t>
      </w:r>
      <w:r>
        <w:rPr>
          <w:rFonts w:ascii="Times New Roman" w:hAnsi="Times New Roman" w:eastAsia="仿宋_GB2312" w:cs="Times New Roman"/>
          <w:sz w:val="32"/>
          <w:szCs w:val="28"/>
        </w:rPr>
        <w:t>发榜单位（兵团水利局）机关及所属事业单位不得单独或作为牵头单位揭榜。</w:t>
      </w:r>
    </w:p>
    <w:p w14:paraId="21CE1FC5">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（2）领衔人</w:t>
      </w:r>
      <w:r>
        <w:rPr>
          <w:rFonts w:ascii="Times New Roman" w:hAnsi="Times New Roman" w:eastAsia="仿宋_GB2312" w:cs="Times New Roman"/>
          <w:sz w:val="32"/>
          <w:szCs w:val="28"/>
        </w:rPr>
        <w:t>已</w:t>
      </w:r>
      <w:r>
        <w:rPr>
          <w:rFonts w:hint="eastAsia" w:ascii="Times New Roman" w:hAnsi="Times New Roman" w:eastAsia="仿宋_GB2312" w:cs="Times New Roman"/>
          <w:sz w:val="32"/>
          <w:szCs w:val="28"/>
        </w:rPr>
        <w:t>获得同类支持</w:t>
      </w:r>
      <w:r>
        <w:rPr>
          <w:rFonts w:ascii="Times New Roman" w:hAnsi="Times New Roman" w:eastAsia="仿宋_GB2312" w:cs="Times New Roman"/>
          <w:sz w:val="32"/>
          <w:szCs w:val="28"/>
        </w:rPr>
        <w:t>且尚在支持期内的，不得重复申报；同一项目不得多头申报</w:t>
      </w:r>
      <w:r>
        <w:rPr>
          <w:rFonts w:hint="eastAsia" w:ascii="Times New Roman" w:hAnsi="Times New Roman" w:eastAsia="仿宋_GB2312" w:cs="Times New Roman"/>
          <w:sz w:val="32"/>
          <w:szCs w:val="28"/>
        </w:rPr>
        <w:t>或</w:t>
      </w:r>
      <w:r>
        <w:rPr>
          <w:rFonts w:ascii="Times New Roman" w:hAnsi="Times New Roman" w:eastAsia="仿宋_GB2312" w:cs="Times New Roman"/>
          <w:sz w:val="32"/>
          <w:szCs w:val="28"/>
        </w:rPr>
        <w:t>重复申报其他同类人才计划</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科技计划。</w:t>
      </w:r>
    </w:p>
    <w:p w14:paraId="74C48F80">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（3）</w:t>
      </w:r>
      <w:r>
        <w:rPr>
          <w:rFonts w:ascii="Times New Roman" w:hAnsi="Times New Roman" w:eastAsia="仿宋_GB2312" w:cs="Times New Roman"/>
          <w:sz w:val="32"/>
          <w:szCs w:val="28"/>
        </w:rPr>
        <w:t>公务员及参照公务员法管理的工作人员（专业技术类除外），以及处于援派期、挂职期的援疆专业技术人才、博士服务团成员，不得作为团队领衔人申报。</w:t>
      </w:r>
    </w:p>
    <w:p w14:paraId="7D918E0E">
      <w:pPr>
        <w:pStyle w:val="6"/>
        <w:spacing w:after="0" w:line="578" w:lineRule="exact"/>
        <w:ind w:firstLine="640" w:firstLineChars="200"/>
        <w:rPr>
          <w:rFonts w:ascii="Times New Roman" w:hAnsi="Times New Roman" w:eastAsia="仿宋_GB2312" w:cs="Times New Roman"/>
          <w:sz w:val="32"/>
          <w:szCs w:val="28"/>
        </w:rPr>
      </w:pPr>
      <w:r>
        <w:rPr>
          <w:rFonts w:hint="eastAsia" w:ascii="Times New Roman" w:hAnsi="Times New Roman" w:eastAsia="仿宋_GB2312" w:cs="Times New Roman"/>
          <w:sz w:val="32"/>
          <w:szCs w:val="28"/>
        </w:rPr>
        <w:t>（4）</w:t>
      </w:r>
      <w:r>
        <w:rPr>
          <w:rFonts w:ascii="Times New Roman" w:hAnsi="Times New Roman" w:eastAsia="仿宋_GB2312" w:cs="Times New Roman"/>
          <w:sz w:val="32"/>
          <w:szCs w:val="28"/>
        </w:rPr>
        <w:t>领衔人或核心成员被列入科研失信名单、受到行业主管部门处罚尚未解除的；团队</w:t>
      </w:r>
      <w:r>
        <w:rPr>
          <w:rFonts w:hint="eastAsia" w:ascii="Times New Roman" w:hAnsi="Times New Roman" w:eastAsia="仿宋_GB2312" w:cs="Times New Roman"/>
          <w:sz w:val="32"/>
          <w:szCs w:val="28"/>
        </w:rPr>
        <w:t>所在</w:t>
      </w:r>
      <w:r>
        <w:rPr>
          <w:rFonts w:ascii="Times New Roman" w:hAnsi="Times New Roman" w:eastAsia="仿宋_GB2312" w:cs="Times New Roman"/>
          <w:sz w:val="32"/>
          <w:szCs w:val="28"/>
        </w:rPr>
        <w:t>单位近三年发生过重大质量安全事故、严重违法违规行为或被列入经营异常名录的。</w:t>
      </w:r>
    </w:p>
    <w:p w14:paraId="11C26945">
      <w:pPr>
        <w:pStyle w:val="2"/>
        <w:widowControl w:val="0"/>
        <w:tabs>
          <w:tab w:val="left" w:pos="4972"/>
        </w:tabs>
        <w:spacing w:line="578" w:lineRule="exact"/>
        <w:ind w:firstLine="640"/>
        <w:outlineLvl w:val="0"/>
        <w:rPr>
          <w:rFonts w:ascii="Times New Roman" w:hAnsi="Times New Roman" w:cs="仿宋_GB2312"/>
          <w:sz w:val="32"/>
          <w:szCs w:val="32"/>
        </w:rPr>
      </w:pPr>
      <w:r>
        <w:rPr>
          <w:rFonts w:hint="eastAsia" w:ascii="Times New Roman" w:hAnsi="Times New Roman" w:eastAsia="黑体" w:cs="黑体"/>
          <w:sz w:val="32"/>
          <w:szCs w:val="32"/>
        </w:rPr>
        <w:t>三、榜单金额与实施周期</w:t>
      </w:r>
    </w:p>
    <w:p w14:paraId="142B10AB">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项目实施周期</w:t>
      </w:r>
      <w:r>
        <w:rPr>
          <w:rFonts w:hint="eastAsia" w:ascii="Times New Roman" w:hAnsi="Times New Roman" w:eastAsia="仿宋_GB2312" w:cs="Times New Roman"/>
          <w:sz w:val="32"/>
          <w:szCs w:val="28"/>
        </w:rPr>
        <w:t>为</w:t>
      </w:r>
      <w:r>
        <w:rPr>
          <w:rFonts w:ascii="Times New Roman" w:hAnsi="Times New Roman" w:eastAsia="仿宋_GB2312" w:cs="Times New Roman"/>
          <w:sz w:val="32"/>
          <w:szCs w:val="28"/>
        </w:rPr>
        <w:t>三年，由新疆人才发展基金</w:t>
      </w:r>
      <w:r>
        <w:rPr>
          <w:rFonts w:hint="eastAsia" w:ascii="Times New Roman" w:hAnsi="Times New Roman" w:eastAsia="仿宋_GB2312" w:cs="Times New Roman"/>
          <w:sz w:val="32"/>
          <w:szCs w:val="28"/>
        </w:rPr>
        <w:t>给予经费</w:t>
      </w:r>
      <w:r>
        <w:rPr>
          <w:rFonts w:ascii="Times New Roman" w:hAnsi="Times New Roman" w:eastAsia="仿宋_GB2312" w:cs="Times New Roman"/>
          <w:sz w:val="32"/>
          <w:szCs w:val="28"/>
        </w:rPr>
        <w:t>支持，揭榜金额不超过</w:t>
      </w:r>
      <w:r>
        <w:rPr>
          <w:rFonts w:hint="eastAsia" w:ascii="Times New Roman" w:hAnsi="Times New Roman" w:eastAsia="仿宋_GB2312" w:cs="Times New Roman"/>
          <w:sz w:val="32"/>
          <w:szCs w:val="28"/>
        </w:rPr>
        <w:t>1000</w:t>
      </w:r>
      <w:r>
        <w:rPr>
          <w:rFonts w:ascii="Times New Roman" w:hAnsi="Times New Roman" w:eastAsia="仿宋_GB2312" w:cs="Times New Roman"/>
          <w:sz w:val="32"/>
          <w:szCs w:val="28"/>
        </w:rPr>
        <w:t>万元。</w:t>
      </w:r>
    </w:p>
    <w:p w14:paraId="6A79D78B">
      <w:pPr>
        <w:pStyle w:val="2"/>
        <w:widowControl w:val="0"/>
        <w:tabs>
          <w:tab w:val="left" w:pos="4972"/>
        </w:tabs>
        <w:spacing w:line="578" w:lineRule="exact"/>
        <w:ind w:firstLine="640"/>
        <w:outlineLvl w:val="0"/>
        <w:rPr>
          <w:rFonts w:ascii="Times New Roman" w:hAnsi="Times New Roman" w:cs="仿宋_GB2312"/>
          <w:sz w:val="32"/>
          <w:szCs w:val="32"/>
        </w:rPr>
      </w:pPr>
      <w:r>
        <w:rPr>
          <w:rFonts w:hint="eastAsia" w:ascii="Times New Roman" w:hAnsi="Times New Roman" w:eastAsia="黑体" w:cs="黑体"/>
          <w:sz w:val="32"/>
          <w:szCs w:val="32"/>
        </w:rPr>
        <w:t>四、配套支持措施</w:t>
      </w:r>
    </w:p>
    <w:p w14:paraId="5F3120B0">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除新疆人才发展基金支持之外，</w:t>
      </w:r>
      <w:r>
        <w:rPr>
          <w:rFonts w:hint="eastAsia" w:ascii="Times New Roman" w:hAnsi="Times New Roman" w:eastAsia="仿宋_GB2312" w:cs="Times New Roman"/>
          <w:sz w:val="32"/>
          <w:szCs w:val="28"/>
        </w:rPr>
        <w:t>兵团水利局</w:t>
      </w:r>
      <w:r>
        <w:rPr>
          <w:rFonts w:ascii="Times New Roman" w:hAnsi="Times New Roman" w:eastAsia="仿宋_GB2312" w:cs="Times New Roman"/>
          <w:sz w:val="32"/>
          <w:szCs w:val="28"/>
        </w:rPr>
        <w:t>将为项目实施提供以下配套支持：</w:t>
      </w:r>
    </w:p>
    <w:p w14:paraId="69EB8293">
      <w:pPr>
        <w:widowControl w:val="0"/>
        <w:spacing w:line="560" w:lineRule="exact"/>
        <w:ind w:firstLine="640" w:firstLineChars="200"/>
        <w:jc w:val="left"/>
        <w:rPr>
          <w:rFonts w:ascii="Times New Roman" w:hAnsi="Times New Roman" w:eastAsia="楷体_GB2312" w:cs="楷体_GB2312"/>
          <w:kern w:val="2"/>
          <w:sz w:val="32"/>
          <w:szCs w:val="32"/>
        </w:rPr>
      </w:pPr>
      <w:r>
        <w:rPr>
          <w:rFonts w:ascii="Times New Roman" w:hAnsi="Times New Roman" w:eastAsia="楷体_GB2312" w:cs="楷体_GB2312"/>
          <w:kern w:val="2"/>
          <w:sz w:val="32"/>
          <w:szCs w:val="32"/>
        </w:rPr>
        <w:t>（</w:t>
      </w:r>
      <w:r>
        <w:rPr>
          <w:rFonts w:hint="eastAsia" w:ascii="Times New Roman" w:hAnsi="Times New Roman" w:eastAsia="楷体_GB2312" w:cs="楷体_GB2312"/>
          <w:kern w:val="2"/>
          <w:sz w:val="32"/>
          <w:szCs w:val="32"/>
        </w:rPr>
        <w:t>一</w:t>
      </w:r>
      <w:r>
        <w:rPr>
          <w:rFonts w:ascii="Times New Roman" w:hAnsi="Times New Roman" w:eastAsia="楷体_GB2312" w:cs="楷体_GB2312"/>
          <w:kern w:val="2"/>
          <w:sz w:val="32"/>
          <w:szCs w:val="32"/>
        </w:rPr>
        <w:t>）组织领导与工作协同</w:t>
      </w:r>
    </w:p>
    <w:p w14:paraId="23579662">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指定项目专员负责日常联络对接，协调解决项目推进中的困难和问题；建立季度调度会商制度，定期听取进展汇报。协调</w:t>
      </w:r>
      <w:r>
        <w:rPr>
          <w:rFonts w:hint="eastAsia" w:ascii="Times New Roman" w:hAnsi="Times New Roman" w:eastAsia="仿宋_GB2312" w:cs="Times New Roman"/>
          <w:sz w:val="32"/>
          <w:szCs w:val="28"/>
        </w:rPr>
        <w:t>农业节水增效新高地试验区</w:t>
      </w:r>
      <w:r>
        <w:rPr>
          <w:rFonts w:ascii="Times New Roman" w:hAnsi="Times New Roman" w:eastAsia="仿宋_GB2312" w:cs="Times New Roman"/>
          <w:sz w:val="32"/>
          <w:szCs w:val="28"/>
        </w:rPr>
        <w:t>所在师</w:t>
      </w:r>
      <w:r>
        <w:rPr>
          <w:rFonts w:hint="eastAsia" w:ascii="Times New Roman" w:hAnsi="Times New Roman" w:eastAsia="仿宋_GB2312" w:cs="Times New Roman"/>
          <w:sz w:val="32"/>
          <w:szCs w:val="28"/>
        </w:rPr>
        <w:t>市</w:t>
      </w:r>
      <w:r>
        <w:rPr>
          <w:rFonts w:ascii="Times New Roman" w:hAnsi="Times New Roman" w:eastAsia="仿宋_GB2312" w:cs="Times New Roman"/>
          <w:sz w:val="32"/>
          <w:szCs w:val="28"/>
        </w:rPr>
        <w:t>水利局及有关团场、水管单位配合项目实施，形成</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发榜部门＋揭榜团队＋师市落地</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三方联动推进机制。</w:t>
      </w:r>
    </w:p>
    <w:p w14:paraId="30F3EC5E">
      <w:pPr>
        <w:widowControl w:val="0"/>
        <w:spacing w:line="560" w:lineRule="exact"/>
        <w:ind w:firstLine="640" w:firstLineChars="200"/>
        <w:jc w:val="left"/>
        <w:rPr>
          <w:rFonts w:ascii="Times New Roman" w:hAnsi="Times New Roman" w:eastAsia="楷体_GB2312" w:cs="楷体_GB2312"/>
          <w:kern w:val="2"/>
          <w:sz w:val="32"/>
          <w:szCs w:val="32"/>
        </w:rPr>
      </w:pPr>
      <w:r>
        <w:rPr>
          <w:rFonts w:ascii="Times New Roman" w:hAnsi="Times New Roman" w:eastAsia="楷体_GB2312" w:cs="楷体_GB2312"/>
          <w:kern w:val="2"/>
          <w:sz w:val="32"/>
          <w:szCs w:val="32"/>
        </w:rPr>
        <w:t>（</w:t>
      </w:r>
      <w:r>
        <w:rPr>
          <w:rFonts w:hint="eastAsia" w:ascii="Times New Roman" w:hAnsi="Times New Roman" w:eastAsia="楷体_GB2312" w:cs="楷体_GB2312"/>
          <w:kern w:val="2"/>
          <w:sz w:val="32"/>
          <w:szCs w:val="32"/>
        </w:rPr>
        <w:t>二</w:t>
      </w:r>
      <w:r>
        <w:rPr>
          <w:rFonts w:ascii="Times New Roman" w:hAnsi="Times New Roman" w:eastAsia="楷体_GB2312" w:cs="楷体_GB2312"/>
          <w:kern w:val="2"/>
          <w:sz w:val="32"/>
          <w:szCs w:val="32"/>
        </w:rPr>
        <w:t>）应用场景开放</w:t>
      </w:r>
    </w:p>
    <w:p w14:paraId="265F1C32">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开放兵团农业节水增效新高地试验区等已建、在建工程项目作为关键技术研发与集成验证的场景，支持揭榜团队在现场布设监测设备、开展清淤</w:t>
      </w:r>
      <w:r>
        <w:rPr>
          <w:rFonts w:hint="eastAsia" w:ascii="Times New Roman" w:hAnsi="Times New Roman" w:eastAsia="仿宋_GB2312" w:cs="Times New Roman"/>
          <w:sz w:val="32"/>
          <w:szCs w:val="28"/>
        </w:rPr>
        <w:t>试验</w:t>
      </w:r>
      <w:r>
        <w:rPr>
          <w:rFonts w:ascii="Times New Roman" w:hAnsi="Times New Roman" w:eastAsia="仿宋_GB2312" w:cs="Times New Roman"/>
          <w:sz w:val="32"/>
          <w:szCs w:val="28"/>
        </w:rPr>
        <w:t>、进行管网调度算法业务化测试</w:t>
      </w:r>
      <w:r>
        <w:rPr>
          <w:rFonts w:hint="eastAsia" w:ascii="Times New Roman" w:hAnsi="Times New Roman" w:eastAsia="仿宋_GB2312" w:cs="Times New Roman"/>
          <w:sz w:val="32"/>
          <w:szCs w:val="28"/>
        </w:rPr>
        <w:t>等。</w:t>
      </w:r>
    </w:p>
    <w:p w14:paraId="08202F8C">
      <w:pPr>
        <w:widowControl w:val="0"/>
        <w:spacing w:line="560" w:lineRule="exact"/>
        <w:ind w:firstLine="640" w:firstLineChars="200"/>
        <w:jc w:val="left"/>
        <w:rPr>
          <w:rFonts w:ascii="Times New Roman" w:hAnsi="Times New Roman" w:eastAsia="楷体_GB2312" w:cs="楷体_GB2312"/>
          <w:kern w:val="2"/>
          <w:sz w:val="32"/>
          <w:szCs w:val="32"/>
        </w:rPr>
      </w:pPr>
      <w:r>
        <w:rPr>
          <w:rFonts w:ascii="Times New Roman" w:hAnsi="Times New Roman" w:eastAsia="楷体_GB2312" w:cs="楷体_GB2312"/>
          <w:kern w:val="2"/>
          <w:sz w:val="32"/>
          <w:szCs w:val="32"/>
        </w:rPr>
        <w:t>（</w:t>
      </w:r>
      <w:r>
        <w:rPr>
          <w:rFonts w:hint="eastAsia" w:ascii="Times New Roman" w:hAnsi="Times New Roman" w:eastAsia="楷体_GB2312" w:cs="楷体_GB2312"/>
          <w:kern w:val="2"/>
          <w:sz w:val="32"/>
          <w:szCs w:val="32"/>
        </w:rPr>
        <w:t>三</w:t>
      </w:r>
      <w:r>
        <w:rPr>
          <w:rFonts w:ascii="Times New Roman" w:hAnsi="Times New Roman" w:eastAsia="楷体_GB2312" w:cs="楷体_GB2312"/>
          <w:kern w:val="2"/>
          <w:sz w:val="32"/>
          <w:szCs w:val="32"/>
        </w:rPr>
        <w:t>）数据资源共享</w:t>
      </w:r>
    </w:p>
    <w:p w14:paraId="319DA32C">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在不违反保密规定的条件下，依规向揭榜团队共享示范灌区基础资料、水资源管理数据、地下水动态监测资料</w:t>
      </w:r>
      <w:r>
        <w:rPr>
          <w:rFonts w:hint="eastAsia" w:ascii="Times New Roman" w:hAnsi="Times New Roman" w:eastAsia="仿宋_GB2312" w:cs="Times New Roman"/>
          <w:sz w:val="32"/>
          <w:szCs w:val="28"/>
        </w:rPr>
        <w:t>等</w:t>
      </w:r>
      <w:r>
        <w:rPr>
          <w:rFonts w:ascii="Times New Roman" w:hAnsi="Times New Roman" w:eastAsia="仿宋_GB2312" w:cs="Times New Roman"/>
          <w:sz w:val="32"/>
          <w:szCs w:val="28"/>
        </w:rPr>
        <w:t>。同时指导揭榜团队</w:t>
      </w:r>
      <w:r>
        <w:rPr>
          <w:rFonts w:hint="eastAsia" w:ascii="Times New Roman" w:hAnsi="Times New Roman" w:eastAsia="仿宋_GB2312" w:cs="Times New Roman"/>
          <w:sz w:val="32"/>
          <w:szCs w:val="28"/>
        </w:rPr>
        <w:t>严格</w:t>
      </w:r>
      <w:r>
        <w:rPr>
          <w:rFonts w:ascii="Times New Roman" w:hAnsi="Times New Roman" w:eastAsia="仿宋_GB2312" w:cs="Times New Roman"/>
          <w:sz w:val="32"/>
          <w:szCs w:val="28"/>
        </w:rPr>
        <w:t>遵守数据安全和保密管理规定，明确</w:t>
      </w:r>
      <w:r>
        <w:rPr>
          <w:rFonts w:hint="eastAsia" w:ascii="Times New Roman" w:hAnsi="Times New Roman" w:eastAsia="仿宋_GB2312" w:cs="Times New Roman"/>
          <w:sz w:val="32"/>
          <w:szCs w:val="28"/>
        </w:rPr>
        <w:t>数据</w:t>
      </w:r>
      <w:r>
        <w:rPr>
          <w:rFonts w:ascii="Times New Roman" w:hAnsi="Times New Roman" w:eastAsia="仿宋_GB2312" w:cs="Times New Roman"/>
          <w:sz w:val="32"/>
          <w:szCs w:val="28"/>
        </w:rPr>
        <w:t>使用边界</w:t>
      </w:r>
      <w:r>
        <w:rPr>
          <w:rFonts w:hint="eastAsia" w:ascii="Times New Roman" w:hAnsi="Times New Roman" w:eastAsia="仿宋_GB2312" w:cs="Times New Roman"/>
          <w:sz w:val="32"/>
          <w:szCs w:val="28"/>
        </w:rPr>
        <w:t>和责任</w:t>
      </w:r>
      <w:r>
        <w:rPr>
          <w:rFonts w:ascii="Times New Roman" w:hAnsi="Times New Roman" w:eastAsia="仿宋_GB2312" w:cs="Times New Roman"/>
          <w:sz w:val="32"/>
          <w:szCs w:val="28"/>
        </w:rPr>
        <w:t>。</w:t>
      </w:r>
    </w:p>
    <w:p w14:paraId="1E0065A8">
      <w:pPr>
        <w:widowControl w:val="0"/>
        <w:spacing w:line="560" w:lineRule="exact"/>
        <w:ind w:firstLine="640" w:firstLineChars="200"/>
        <w:jc w:val="left"/>
        <w:rPr>
          <w:rFonts w:ascii="Times New Roman" w:hAnsi="Times New Roman" w:eastAsia="楷体_GB2312" w:cs="楷体_GB2312"/>
          <w:kern w:val="2"/>
          <w:sz w:val="32"/>
          <w:szCs w:val="32"/>
        </w:rPr>
      </w:pPr>
      <w:r>
        <w:rPr>
          <w:rFonts w:ascii="Times New Roman" w:hAnsi="Times New Roman" w:eastAsia="楷体_GB2312" w:cs="楷体_GB2312"/>
          <w:kern w:val="2"/>
          <w:sz w:val="32"/>
          <w:szCs w:val="32"/>
        </w:rPr>
        <w:t>（</w:t>
      </w:r>
      <w:r>
        <w:rPr>
          <w:rFonts w:hint="eastAsia" w:ascii="Times New Roman" w:hAnsi="Times New Roman" w:eastAsia="楷体_GB2312" w:cs="楷体_GB2312"/>
          <w:kern w:val="2"/>
          <w:sz w:val="32"/>
          <w:szCs w:val="32"/>
        </w:rPr>
        <w:t>四</w:t>
      </w:r>
      <w:r>
        <w:rPr>
          <w:rFonts w:ascii="Times New Roman" w:hAnsi="Times New Roman" w:eastAsia="楷体_GB2312" w:cs="楷体_GB2312"/>
          <w:kern w:val="2"/>
          <w:sz w:val="32"/>
          <w:szCs w:val="32"/>
        </w:rPr>
        <w:t>）科研与工作条件保障</w:t>
      </w:r>
    </w:p>
    <w:p w14:paraId="2F99FF7C">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依托兵团水利局局属有关单位和示范灌区所在地管</w:t>
      </w:r>
      <w:r>
        <w:rPr>
          <w:rFonts w:hint="eastAsia" w:ascii="Times New Roman" w:hAnsi="Times New Roman" w:eastAsia="仿宋_GB2312" w:cs="Times New Roman"/>
          <w:sz w:val="32"/>
          <w:szCs w:val="28"/>
        </w:rPr>
        <w:t>理</w:t>
      </w:r>
      <w:r>
        <w:rPr>
          <w:rFonts w:ascii="Times New Roman" w:hAnsi="Times New Roman" w:eastAsia="仿宋_GB2312" w:cs="Times New Roman"/>
          <w:sz w:val="32"/>
          <w:szCs w:val="28"/>
        </w:rPr>
        <w:t>单位，为团队提供必要的驻场办公与生活条件，协助解决团队成员通勤、装备转运等事项。支持团队与兵团科技局</w:t>
      </w:r>
      <w:r>
        <w:rPr>
          <w:rFonts w:hint="eastAsia" w:ascii="Times New Roman" w:hAnsi="Times New Roman" w:eastAsia="仿宋_GB2312" w:cs="Times New Roman"/>
          <w:sz w:val="32"/>
          <w:szCs w:val="28"/>
        </w:rPr>
        <w:t>、有关高校、科研院所、节水企业</w:t>
      </w:r>
      <w:r>
        <w:rPr>
          <w:rFonts w:ascii="Times New Roman" w:hAnsi="Times New Roman" w:eastAsia="仿宋_GB2312" w:cs="Times New Roman"/>
          <w:sz w:val="32"/>
          <w:szCs w:val="28"/>
        </w:rPr>
        <w:t>沟通衔接，促进产学研</w:t>
      </w:r>
      <w:r>
        <w:rPr>
          <w:rFonts w:hint="eastAsia" w:ascii="Times New Roman" w:hAnsi="Times New Roman" w:eastAsia="仿宋_GB2312" w:cs="Times New Roman"/>
          <w:sz w:val="32"/>
          <w:szCs w:val="28"/>
        </w:rPr>
        <w:t>用</w:t>
      </w:r>
      <w:r>
        <w:rPr>
          <w:rFonts w:ascii="Times New Roman" w:hAnsi="Times New Roman" w:eastAsia="仿宋_GB2312" w:cs="Times New Roman"/>
          <w:sz w:val="32"/>
          <w:szCs w:val="28"/>
        </w:rPr>
        <w:t>协同。</w:t>
      </w:r>
    </w:p>
    <w:p w14:paraId="4F356CCA">
      <w:pPr>
        <w:widowControl w:val="0"/>
        <w:spacing w:line="560" w:lineRule="exact"/>
        <w:ind w:firstLine="640" w:firstLineChars="200"/>
        <w:jc w:val="left"/>
        <w:rPr>
          <w:rFonts w:ascii="Times New Roman" w:hAnsi="Times New Roman" w:eastAsia="楷体_GB2312" w:cs="楷体_GB2312"/>
          <w:kern w:val="2"/>
          <w:sz w:val="32"/>
          <w:szCs w:val="32"/>
        </w:rPr>
      </w:pPr>
      <w:r>
        <w:rPr>
          <w:rFonts w:ascii="Times New Roman" w:hAnsi="Times New Roman" w:eastAsia="楷体_GB2312" w:cs="楷体_GB2312"/>
          <w:kern w:val="2"/>
          <w:sz w:val="32"/>
          <w:szCs w:val="32"/>
        </w:rPr>
        <w:t>（</w:t>
      </w:r>
      <w:r>
        <w:rPr>
          <w:rFonts w:hint="eastAsia" w:ascii="Times New Roman" w:hAnsi="Times New Roman" w:eastAsia="楷体_GB2312" w:cs="楷体_GB2312"/>
          <w:kern w:val="2"/>
          <w:sz w:val="32"/>
          <w:szCs w:val="32"/>
        </w:rPr>
        <w:t>五</w:t>
      </w:r>
      <w:r>
        <w:rPr>
          <w:rFonts w:ascii="Times New Roman" w:hAnsi="Times New Roman" w:eastAsia="楷体_GB2312" w:cs="楷体_GB2312"/>
          <w:kern w:val="2"/>
          <w:sz w:val="32"/>
          <w:szCs w:val="32"/>
        </w:rPr>
        <w:t>）成果应用与转化支持</w:t>
      </w:r>
    </w:p>
    <w:p w14:paraId="194488DB">
      <w:pPr>
        <w:pStyle w:val="6"/>
        <w:spacing w:after="0" w:line="578" w:lineRule="exact"/>
        <w:ind w:firstLine="640" w:firstLineChars="200"/>
        <w:rPr>
          <w:rFonts w:ascii="Times New Roman" w:hAnsi="Times New Roman" w:eastAsia="仿宋_GB2312" w:cs="Times New Roman"/>
          <w:sz w:val="32"/>
          <w:szCs w:val="28"/>
        </w:rPr>
      </w:pPr>
      <w:r>
        <w:rPr>
          <w:rFonts w:ascii="Times New Roman" w:hAnsi="Times New Roman" w:eastAsia="仿宋_GB2312" w:cs="Times New Roman"/>
          <w:sz w:val="32"/>
          <w:szCs w:val="28"/>
        </w:rPr>
        <w:t>项目形成</w:t>
      </w:r>
      <w:r>
        <w:rPr>
          <w:rFonts w:hint="eastAsia" w:ascii="Times New Roman" w:hAnsi="Times New Roman" w:eastAsia="仿宋_GB2312" w:cs="Times New Roman"/>
          <w:sz w:val="32"/>
          <w:szCs w:val="28"/>
        </w:rPr>
        <w:t>的研究成果</w:t>
      </w:r>
      <w:r>
        <w:rPr>
          <w:rFonts w:ascii="Times New Roman" w:hAnsi="Times New Roman" w:eastAsia="仿宋_GB2312" w:cs="Times New Roman"/>
          <w:sz w:val="32"/>
          <w:szCs w:val="28"/>
        </w:rPr>
        <w:t>，经评估后优先纳入兵团灌区现代化改造、数字孪生灌区建设</w:t>
      </w:r>
      <w:r>
        <w:rPr>
          <w:rFonts w:hint="eastAsia" w:ascii="Times New Roman" w:hAnsi="Times New Roman" w:eastAsia="仿宋_GB2312" w:cs="Times New Roman"/>
          <w:sz w:val="32"/>
          <w:szCs w:val="28"/>
        </w:rPr>
        <w:t>、平原水库清淤等工程</w:t>
      </w:r>
      <w:r>
        <w:rPr>
          <w:rFonts w:ascii="Times New Roman" w:hAnsi="Times New Roman" w:eastAsia="仿宋_GB2312" w:cs="Times New Roman"/>
          <w:sz w:val="32"/>
          <w:szCs w:val="28"/>
        </w:rPr>
        <w:t>部署应用；成熟</w:t>
      </w:r>
      <w:r>
        <w:rPr>
          <w:rFonts w:hint="eastAsia" w:ascii="Times New Roman" w:hAnsi="Times New Roman" w:eastAsia="仿宋_GB2312" w:cs="Times New Roman"/>
          <w:sz w:val="32"/>
          <w:szCs w:val="28"/>
        </w:rPr>
        <w:t>技术</w:t>
      </w:r>
      <w:r>
        <w:rPr>
          <w:rFonts w:ascii="Times New Roman" w:hAnsi="Times New Roman" w:eastAsia="仿宋_GB2312" w:cs="Times New Roman"/>
          <w:sz w:val="32"/>
          <w:szCs w:val="28"/>
        </w:rPr>
        <w:t>可优先推荐</w:t>
      </w:r>
      <w:r>
        <w:rPr>
          <w:rFonts w:hint="eastAsia" w:ascii="Times New Roman" w:hAnsi="Times New Roman" w:eastAsia="仿宋_GB2312" w:cs="Times New Roman"/>
          <w:sz w:val="32"/>
          <w:szCs w:val="28"/>
        </w:rPr>
        <w:t>纳入</w:t>
      </w:r>
      <w:r>
        <w:rPr>
          <w:rFonts w:ascii="Times New Roman" w:hAnsi="Times New Roman" w:eastAsia="仿宋_GB2312" w:cs="Times New Roman"/>
          <w:sz w:val="32"/>
          <w:szCs w:val="28"/>
        </w:rPr>
        <w:t>水利部先进实用技术重点推广指导目录</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支持团队据此申报</w:t>
      </w:r>
      <w:r>
        <w:rPr>
          <w:rFonts w:hint="eastAsia" w:ascii="Times New Roman" w:hAnsi="Times New Roman" w:eastAsia="仿宋_GB2312" w:cs="Times New Roman"/>
          <w:sz w:val="32"/>
          <w:szCs w:val="28"/>
        </w:rPr>
        <w:t>兵团</w:t>
      </w:r>
      <w:r>
        <w:rPr>
          <w:rFonts w:ascii="Times New Roman" w:hAnsi="Times New Roman" w:eastAsia="仿宋_GB2312" w:cs="Times New Roman"/>
          <w:sz w:val="32"/>
          <w:szCs w:val="28"/>
        </w:rPr>
        <w:t>科学技术奖、大禹水利科学技术奖等奖项</w:t>
      </w:r>
      <w:r>
        <w:rPr>
          <w:rFonts w:hint="eastAsia" w:ascii="Times New Roman" w:hAnsi="Times New Roman" w:eastAsia="仿宋_GB2312" w:cs="Times New Roman"/>
          <w:sz w:val="32"/>
          <w:szCs w:val="28"/>
        </w:rPr>
        <w:t>。</w:t>
      </w:r>
      <w:r>
        <w:rPr>
          <w:rFonts w:ascii="Times New Roman" w:hAnsi="Times New Roman" w:eastAsia="仿宋_GB2312" w:cs="Times New Roman"/>
          <w:sz w:val="32"/>
          <w:szCs w:val="28"/>
        </w:rPr>
        <w:t>对项目验收评价优秀、成效显著的，在</w:t>
      </w:r>
      <w:r>
        <w:rPr>
          <w:rFonts w:hint="eastAsia" w:ascii="Times New Roman" w:hAnsi="Times New Roman" w:eastAsia="仿宋_GB2312" w:cs="Times New Roman"/>
          <w:sz w:val="32"/>
          <w:szCs w:val="28"/>
        </w:rPr>
        <w:t>后续</w:t>
      </w:r>
      <w:r>
        <w:rPr>
          <w:rFonts w:ascii="Times New Roman" w:hAnsi="Times New Roman" w:eastAsia="仿宋_GB2312" w:cs="Times New Roman"/>
          <w:sz w:val="32"/>
          <w:szCs w:val="28"/>
        </w:rPr>
        <w:t>兵团重大水利科研选题中给予优先推荐。</w:t>
      </w:r>
    </w:p>
    <w:p w14:paraId="6F5A6C15">
      <w:pPr>
        <w:pStyle w:val="2"/>
        <w:widowControl w:val="0"/>
        <w:tabs>
          <w:tab w:val="left" w:pos="4972"/>
        </w:tabs>
        <w:spacing w:line="578" w:lineRule="exact"/>
        <w:ind w:firstLine="640"/>
        <w:outlineLvl w:val="0"/>
        <w:rPr>
          <w:rFonts w:ascii="Times New Roman" w:hAnsi="Times New Roman" w:eastAsia="黑体" w:cs="黑体"/>
          <w:sz w:val="32"/>
          <w:szCs w:val="32"/>
        </w:rPr>
      </w:pPr>
      <w:r>
        <w:rPr>
          <w:rFonts w:hint="eastAsia" w:ascii="Times New Roman" w:hAnsi="Times New Roman" w:eastAsia="黑体" w:cs="黑体"/>
          <w:sz w:val="32"/>
          <w:szCs w:val="32"/>
        </w:rPr>
        <w:t>五、有关要求</w:t>
      </w:r>
    </w:p>
    <w:p w14:paraId="075F5A9B">
      <w:pPr>
        <w:widowControl w:val="0"/>
        <w:spacing w:line="560" w:lineRule="exact"/>
        <w:ind w:firstLine="640" w:firstLineChars="200"/>
        <w:jc w:val="left"/>
        <w:rPr>
          <w:rFonts w:ascii="Times New Roman" w:hAnsi="Times New Roman" w:eastAsia="楷体_GB2312" w:cs="楷体_GB2312"/>
          <w:kern w:val="2"/>
          <w:sz w:val="32"/>
          <w:szCs w:val="32"/>
        </w:rPr>
      </w:pPr>
      <w:r>
        <w:rPr>
          <w:rFonts w:hint="eastAsia" w:ascii="Times New Roman" w:hAnsi="Times New Roman" w:eastAsia="楷体_GB2312" w:cs="楷体_GB2312"/>
          <w:kern w:val="2"/>
          <w:sz w:val="32"/>
          <w:szCs w:val="32"/>
        </w:rPr>
        <w:t>（一）申报时间</w:t>
      </w:r>
    </w:p>
    <w:p w14:paraId="0FBB4132">
      <w:pPr>
        <w:pStyle w:val="6"/>
        <w:spacing w:after="0" w:line="578"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2026年</w:t>
      </w:r>
      <w:r>
        <w:rPr>
          <w:rFonts w:hint="eastAsia" w:ascii="Times New Roman" w:hAnsi="Times New Roman" w:eastAsia="仿宋_GB2312" w:cs="Times New Roman"/>
          <w:sz w:val="32"/>
          <w:szCs w:val="32"/>
          <w:highlight w:val="none"/>
        </w:rPr>
        <w:t>9</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eastAsia="zh-CN"/>
        </w:rPr>
        <w:t>1</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日至</w:t>
      </w:r>
      <w:r>
        <w:rPr>
          <w:rFonts w:ascii="Times New Roman" w:hAnsi="Times New Roman" w:eastAsia="仿宋_GB2312" w:cs="Times New Roman"/>
          <w:sz w:val="32"/>
          <w:szCs w:val="32"/>
          <w:highlight w:val="none"/>
        </w:rPr>
        <w:t>9月2</w:t>
      </w:r>
      <w:r>
        <w:rPr>
          <w:rFonts w:hint="eastAsia" w:ascii="Times New Roman" w:hAnsi="Times New Roman" w:eastAsia="仿宋_GB2312" w:cs="Times New Roman"/>
          <w:sz w:val="32"/>
          <w:szCs w:val="32"/>
          <w:highlight w:val="none"/>
          <w:lang w:eastAsia="zh-CN"/>
        </w:rPr>
        <w:t>9</w:t>
      </w:r>
      <w:bookmarkStart w:id="0" w:name="_GoBack"/>
      <w:bookmarkEnd w:id="0"/>
      <w:r>
        <w:rPr>
          <w:rFonts w:ascii="Times New Roman" w:hAnsi="Times New Roman" w:eastAsia="仿宋_GB2312" w:cs="Times New Roman"/>
          <w:sz w:val="32"/>
          <w:szCs w:val="32"/>
          <w:highlight w:val="none"/>
        </w:rPr>
        <w:t>日，逾期不予受理。</w:t>
      </w:r>
    </w:p>
    <w:p w14:paraId="6F8D6BF4">
      <w:pPr>
        <w:widowControl w:val="0"/>
        <w:spacing w:line="560" w:lineRule="exact"/>
        <w:ind w:firstLine="640" w:firstLineChars="200"/>
        <w:jc w:val="left"/>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（二）申报方式</w:t>
      </w:r>
    </w:p>
    <w:p w14:paraId="087A0964">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有意向揭榜的人才团队须依托疆内外重点用人单位，由用人单位通过“新疆智慧人才服务管理平台”统一申报。</w:t>
      </w:r>
    </w:p>
    <w:p w14:paraId="32BE3E0A">
      <w:pPr>
        <w:widowControl w:val="0"/>
        <w:spacing w:line="560" w:lineRule="exact"/>
        <w:ind w:firstLine="640" w:firstLineChars="200"/>
        <w:jc w:val="left"/>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（三）材料要求</w:t>
      </w:r>
    </w:p>
    <w:p w14:paraId="535C1921">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申报材料须真实、准确、完整，用人单位对申报材料的真实性、准确性、完整性负主体责任。</w:t>
      </w:r>
    </w:p>
    <w:p w14:paraId="22417945">
      <w:pPr>
        <w:widowControl w:val="0"/>
        <w:spacing w:line="560" w:lineRule="exact"/>
        <w:ind w:firstLine="640" w:firstLineChars="200"/>
        <w:jc w:val="left"/>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（四）监督管理</w:t>
      </w:r>
    </w:p>
    <w:p w14:paraId="0061B062">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对存在弄虚作假、多头申报等科研失信行为的，取消三年申报资格。</w:t>
      </w:r>
    </w:p>
    <w:p w14:paraId="623DB6AA">
      <w:pPr>
        <w:pStyle w:val="2"/>
        <w:widowControl w:val="0"/>
        <w:tabs>
          <w:tab w:val="left" w:pos="4972"/>
        </w:tabs>
        <w:spacing w:line="578" w:lineRule="exact"/>
        <w:ind w:firstLine="640"/>
        <w:outlineLvl w:val="0"/>
        <w:rPr>
          <w:rFonts w:ascii="Times New Roman" w:hAnsi="Times New Roman" w:eastAsia="黑体" w:cs="Times New Roman"/>
          <w:sz w:val="32"/>
          <w:szCs w:val="32"/>
        </w:rPr>
      </w:pPr>
      <w:r>
        <w:rPr>
          <w:rFonts w:ascii="Times New Roman" w:hAnsi="Times New Roman" w:eastAsia="黑体" w:cs="Times New Roman"/>
          <w:sz w:val="32"/>
          <w:szCs w:val="32"/>
        </w:rPr>
        <w:t>六、联系方式</w:t>
      </w:r>
    </w:p>
    <w:p w14:paraId="5D59B6E5">
      <w:pPr>
        <w:widowControl w:val="0"/>
        <w:spacing w:line="560" w:lineRule="exact"/>
        <w:ind w:firstLine="640" w:firstLineChars="200"/>
        <w:jc w:val="left"/>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（一）牵头部门联系方式</w:t>
      </w:r>
    </w:p>
    <w:p w14:paraId="0FF8DABD">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新疆</w:t>
      </w:r>
      <w:r>
        <w:rPr>
          <w:rFonts w:hint="eastAsia" w:ascii="Times New Roman" w:hAnsi="Times New Roman" w:eastAsia="仿宋_GB2312" w:cs="Times New Roman"/>
          <w:sz w:val="32"/>
          <w:szCs w:val="32"/>
        </w:rPr>
        <w:t>生产建设兵团水利局</w:t>
      </w:r>
      <w:r>
        <w:rPr>
          <w:rFonts w:ascii="Times New Roman" w:hAnsi="Times New Roman" w:eastAsia="仿宋_GB2312" w:cs="Times New Roman"/>
          <w:sz w:val="32"/>
          <w:szCs w:val="32"/>
        </w:rPr>
        <w:t>（地址：新疆乌鲁木齐市光明路196号）</w:t>
      </w:r>
    </w:p>
    <w:p w14:paraId="6775F4FE">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联系人：时元智  0991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2890227</w:t>
      </w:r>
    </w:p>
    <w:p w14:paraId="03EBB158">
      <w:pPr>
        <w:pStyle w:val="6"/>
        <w:spacing w:after="0" w:line="57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马真臻  0991-2890350</w:t>
      </w:r>
    </w:p>
    <w:p w14:paraId="5EE24238">
      <w:pPr>
        <w:widowControl w:val="0"/>
        <w:spacing w:line="560" w:lineRule="exact"/>
        <w:ind w:firstLine="640" w:firstLineChars="200"/>
        <w:jc w:val="left"/>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（二）线上申报技术支持</w:t>
      </w:r>
    </w:p>
    <w:p w14:paraId="776DE28A">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新疆智慧人才服务管理平台技术运维组</w:t>
      </w:r>
    </w:p>
    <w:p w14:paraId="590C6445">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平台登录（注册）：0991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5155312</w:t>
      </w:r>
    </w:p>
    <w:p w14:paraId="502D17E7">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技术支持：0991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5155313，0991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5155314（网新）</w:t>
      </w:r>
    </w:p>
    <w:p w14:paraId="13E101A8">
      <w:pPr>
        <w:pStyle w:val="6"/>
        <w:spacing w:after="0" w:line="57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咨询时间：工作日10:00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13:30，16:00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20:00</w:t>
      </w:r>
    </w:p>
    <w:p w14:paraId="4EE69AAE">
      <w:pPr>
        <w:pStyle w:val="6"/>
        <w:spacing w:after="0" w:line="578" w:lineRule="exact"/>
        <w:ind w:firstLine="640" w:firstLineChars="200"/>
        <w:rPr>
          <w:rFonts w:ascii="仿宋_GB2312" w:hAnsi="仿宋_GB2312" w:eastAsia="仿宋_GB2312" w:cs="仿宋_GB2312"/>
          <w:sz w:val="32"/>
          <w:szCs w:val="32"/>
        </w:rPr>
      </w:pPr>
    </w:p>
    <w:p w14:paraId="1A27108C">
      <w:pPr>
        <w:pStyle w:val="6"/>
        <w:spacing w:after="0" w:line="578" w:lineRule="exact"/>
        <w:ind w:firstLine="640" w:firstLineChars="200"/>
        <w:rPr>
          <w:rFonts w:ascii="仿宋_GB2312" w:hAnsi="仿宋_GB2312" w:eastAsia="仿宋_GB2312" w:cs="仿宋_GB2312"/>
          <w:sz w:val="32"/>
          <w:szCs w:val="32"/>
        </w:rPr>
      </w:pPr>
    </w:p>
    <w:sectPr>
      <w:footerReference r:id="rId5"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E05FC8-9A18-46FD-BEC3-BEDF827B6A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3C0125C-5731-4A8D-AAAD-856C26788EDF}"/>
  </w:font>
  <w:font w:name="仿宋_GB2312">
    <w:panose1 w:val="02010609030101010101"/>
    <w:charset w:val="86"/>
    <w:family w:val="modern"/>
    <w:pitch w:val="default"/>
    <w:sig w:usb0="00000001" w:usb1="080E0000" w:usb2="00000000" w:usb3="00000000" w:csb0="00040000" w:csb1="00000000"/>
    <w:embedRegular r:id="rId3" w:fontKey="{C9196FB8-B268-4FE6-AB76-41C00DDF6D69}"/>
  </w:font>
  <w:font w:name="方正小标宋简体">
    <w:panose1 w:val="02000000000000000000"/>
    <w:charset w:val="86"/>
    <w:family w:val="auto"/>
    <w:pitch w:val="default"/>
    <w:sig w:usb0="00000001" w:usb1="08000000" w:usb2="00000000" w:usb3="00000000" w:csb0="00040000" w:csb1="00000000"/>
    <w:embedRegular r:id="rId4" w:fontKey="{FB04A735-823E-4D56-802D-9484402A12D3}"/>
  </w:font>
  <w:font w:name="方正小标宋_GBK">
    <w:panose1 w:val="02000000000000000000"/>
    <w:charset w:val="86"/>
    <w:family w:val="script"/>
    <w:pitch w:val="default"/>
    <w:sig w:usb0="A00002BF" w:usb1="38CF7CFA" w:usb2="00082016" w:usb3="00000000" w:csb0="00040001" w:csb1="00000000"/>
    <w:embedRegular r:id="rId5" w:fontKey="{D29B81DE-22E6-42FA-BA5B-6305E29488F5}"/>
  </w:font>
  <w:font w:name="楷体_GB2312">
    <w:panose1 w:val="02010609030101010101"/>
    <w:charset w:val="86"/>
    <w:family w:val="modern"/>
    <w:pitch w:val="default"/>
    <w:sig w:usb0="00000001" w:usb1="080E0000" w:usb2="00000000" w:usb3="00000000" w:csb0="00040000" w:csb1="00000000"/>
    <w:embedRegular r:id="rId6" w:fontKey="{7AD9D650-EEB2-4C4B-B3E1-BC81B3F4B58C}"/>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C3A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CB1CC">
                          <w:pPr>
                            <w:pStyle w:val="4"/>
                            <w:rPr>
                              <w:rFonts w:ascii="Times New Roman" w:hAnsi="Times New Roman" w:cs="Times New Roman"/>
                              <w:sz w:val="28"/>
                              <w:szCs w:val="40"/>
                            </w:rPr>
                          </w:pPr>
                          <w:r>
                            <w:rPr>
                              <w:rFonts w:ascii="Times New Roman" w:hAnsi="Times New Roman" w:cs="Times New Roman"/>
                              <w:sz w:val="28"/>
                              <w:szCs w:val="40"/>
                            </w:rPr>
                            <w:t xml:space="preserve">— </w:t>
                          </w:r>
                          <w:r>
                            <w:rPr>
                              <w:rFonts w:ascii="Times New Roman" w:hAnsi="Times New Roman" w:cs="Times New Roman"/>
                              <w:sz w:val="28"/>
                              <w:szCs w:val="40"/>
                            </w:rPr>
                            <w:fldChar w:fldCharType="begin"/>
                          </w:r>
                          <w:r>
                            <w:rPr>
                              <w:rFonts w:ascii="Times New Roman" w:hAnsi="Times New Roman" w:cs="Times New Roman"/>
                              <w:sz w:val="28"/>
                              <w:szCs w:val="40"/>
                            </w:rPr>
                            <w:instrText xml:space="preserve"> PAGE  \* MERGEFORMAT </w:instrText>
                          </w:r>
                          <w:r>
                            <w:rPr>
                              <w:rFonts w:ascii="Times New Roman" w:hAnsi="Times New Roman" w:cs="Times New Roman"/>
                              <w:sz w:val="28"/>
                              <w:szCs w:val="40"/>
                            </w:rPr>
                            <w:fldChar w:fldCharType="separate"/>
                          </w:r>
                          <w:r>
                            <w:rPr>
                              <w:rFonts w:ascii="Times New Roman" w:hAnsi="Times New Roman" w:cs="Times New Roman"/>
                              <w:sz w:val="28"/>
                              <w:szCs w:val="40"/>
                            </w:rPr>
                            <w:t>8</w:t>
                          </w:r>
                          <w:r>
                            <w:rPr>
                              <w:rFonts w:ascii="Times New Roman" w:hAnsi="Times New Roman" w:cs="Times New Roman"/>
                              <w:sz w:val="28"/>
                              <w:szCs w:val="40"/>
                            </w:rPr>
                            <w:fldChar w:fldCharType="end"/>
                          </w:r>
                          <w:r>
                            <w:rPr>
                              <w:rFonts w:ascii="Times New Roman" w:hAnsi="Times New Roman" w:cs="Times New Roman"/>
                              <w:sz w:val="28"/>
                              <w:szCs w:val="4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D4CB1CC">
                    <w:pPr>
                      <w:pStyle w:val="4"/>
                      <w:rPr>
                        <w:rFonts w:ascii="Times New Roman" w:hAnsi="Times New Roman" w:cs="Times New Roman"/>
                        <w:sz w:val="28"/>
                        <w:szCs w:val="40"/>
                      </w:rPr>
                    </w:pPr>
                    <w:r>
                      <w:rPr>
                        <w:rFonts w:ascii="Times New Roman" w:hAnsi="Times New Roman" w:cs="Times New Roman"/>
                        <w:sz w:val="28"/>
                        <w:szCs w:val="40"/>
                      </w:rPr>
                      <w:t xml:space="preserve">— </w:t>
                    </w:r>
                    <w:r>
                      <w:rPr>
                        <w:rFonts w:ascii="Times New Roman" w:hAnsi="Times New Roman" w:cs="Times New Roman"/>
                        <w:sz w:val="28"/>
                        <w:szCs w:val="40"/>
                      </w:rPr>
                      <w:fldChar w:fldCharType="begin"/>
                    </w:r>
                    <w:r>
                      <w:rPr>
                        <w:rFonts w:ascii="Times New Roman" w:hAnsi="Times New Roman" w:cs="Times New Roman"/>
                        <w:sz w:val="28"/>
                        <w:szCs w:val="40"/>
                      </w:rPr>
                      <w:instrText xml:space="preserve"> PAGE  \* MERGEFORMAT </w:instrText>
                    </w:r>
                    <w:r>
                      <w:rPr>
                        <w:rFonts w:ascii="Times New Roman" w:hAnsi="Times New Roman" w:cs="Times New Roman"/>
                        <w:sz w:val="28"/>
                        <w:szCs w:val="40"/>
                      </w:rPr>
                      <w:fldChar w:fldCharType="separate"/>
                    </w:r>
                    <w:r>
                      <w:rPr>
                        <w:rFonts w:ascii="Times New Roman" w:hAnsi="Times New Roman" w:cs="Times New Roman"/>
                        <w:sz w:val="28"/>
                        <w:szCs w:val="40"/>
                      </w:rPr>
                      <w:t>8</w:t>
                    </w:r>
                    <w:r>
                      <w:rPr>
                        <w:rFonts w:ascii="Times New Roman" w:hAnsi="Times New Roman" w:cs="Times New Roman"/>
                        <w:sz w:val="28"/>
                        <w:szCs w:val="40"/>
                      </w:rPr>
                      <w:fldChar w:fldCharType="end"/>
                    </w:r>
                    <w:r>
                      <w:rPr>
                        <w:rFonts w:ascii="Times New Roman" w:hAnsi="Times New Roman" w:cs="Times New Roman"/>
                        <w:sz w:val="28"/>
                        <w:szCs w:val="4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B25"/>
    <w:rsid w:val="000949A7"/>
    <w:rsid w:val="001D1369"/>
    <w:rsid w:val="002E5B25"/>
    <w:rsid w:val="004E3417"/>
    <w:rsid w:val="004E5590"/>
    <w:rsid w:val="0055497C"/>
    <w:rsid w:val="005E7324"/>
    <w:rsid w:val="00A83B19"/>
    <w:rsid w:val="00A85442"/>
    <w:rsid w:val="00B55E8A"/>
    <w:rsid w:val="00B800BE"/>
    <w:rsid w:val="00E22DC7"/>
    <w:rsid w:val="00EE01F3"/>
    <w:rsid w:val="00FD0130"/>
    <w:rsid w:val="01034D81"/>
    <w:rsid w:val="01B71A02"/>
    <w:rsid w:val="01CF7A28"/>
    <w:rsid w:val="01D921BF"/>
    <w:rsid w:val="02070677"/>
    <w:rsid w:val="02360A13"/>
    <w:rsid w:val="02604938"/>
    <w:rsid w:val="02951D5A"/>
    <w:rsid w:val="02DF25CC"/>
    <w:rsid w:val="02E55AD1"/>
    <w:rsid w:val="03250771"/>
    <w:rsid w:val="034B52D2"/>
    <w:rsid w:val="03641575"/>
    <w:rsid w:val="038B0B10"/>
    <w:rsid w:val="03B22C45"/>
    <w:rsid w:val="041223BD"/>
    <w:rsid w:val="042B6C8F"/>
    <w:rsid w:val="04512D1C"/>
    <w:rsid w:val="04525ADE"/>
    <w:rsid w:val="04545C6E"/>
    <w:rsid w:val="046D51CB"/>
    <w:rsid w:val="04A21567"/>
    <w:rsid w:val="04B14967"/>
    <w:rsid w:val="04E70CB7"/>
    <w:rsid w:val="056559A9"/>
    <w:rsid w:val="05A24EE9"/>
    <w:rsid w:val="05B40029"/>
    <w:rsid w:val="05C304EF"/>
    <w:rsid w:val="06364837"/>
    <w:rsid w:val="06A73A39"/>
    <w:rsid w:val="06A8127C"/>
    <w:rsid w:val="06C84DF9"/>
    <w:rsid w:val="06DB2E51"/>
    <w:rsid w:val="073255F7"/>
    <w:rsid w:val="073F2396"/>
    <w:rsid w:val="074827BA"/>
    <w:rsid w:val="075D080B"/>
    <w:rsid w:val="0802427D"/>
    <w:rsid w:val="08A154F4"/>
    <w:rsid w:val="08A43459"/>
    <w:rsid w:val="09201347"/>
    <w:rsid w:val="092C3601"/>
    <w:rsid w:val="094B0C2B"/>
    <w:rsid w:val="09772049"/>
    <w:rsid w:val="099E07E0"/>
    <w:rsid w:val="099F0823"/>
    <w:rsid w:val="09B47864"/>
    <w:rsid w:val="09C31FB0"/>
    <w:rsid w:val="09C7210F"/>
    <w:rsid w:val="0A3E6AF2"/>
    <w:rsid w:val="0A5D5271"/>
    <w:rsid w:val="0A8302A5"/>
    <w:rsid w:val="0A834D7A"/>
    <w:rsid w:val="0AA22347"/>
    <w:rsid w:val="0AA74787"/>
    <w:rsid w:val="0ADA16D0"/>
    <w:rsid w:val="0B457F63"/>
    <w:rsid w:val="0B4E53BC"/>
    <w:rsid w:val="0B590638"/>
    <w:rsid w:val="0B5F34E1"/>
    <w:rsid w:val="0B854F85"/>
    <w:rsid w:val="0BE568C5"/>
    <w:rsid w:val="0C2C0D03"/>
    <w:rsid w:val="0C314938"/>
    <w:rsid w:val="0C396F60"/>
    <w:rsid w:val="0C3B0D98"/>
    <w:rsid w:val="0C44681A"/>
    <w:rsid w:val="0C9B6B4E"/>
    <w:rsid w:val="0CB334F3"/>
    <w:rsid w:val="0CBE129B"/>
    <w:rsid w:val="0CCF6365"/>
    <w:rsid w:val="0CED0B6F"/>
    <w:rsid w:val="0CFD4609"/>
    <w:rsid w:val="0D2C5575"/>
    <w:rsid w:val="0D9E7552"/>
    <w:rsid w:val="0DEB4417"/>
    <w:rsid w:val="0E0251CE"/>
    <w:rsid w:val="0E094C2E"/>
    <w:rsid w:val="0E2B294C"/>
    <w:rsid w:val="0E405769"/>
    <w:rsid w:val="0E9E5D2D"/>
    <w:rsid w:val="0EC218D4"/>
    <w:rsid w:val="0EDE63B8"/>
    <w:rsid w:val="0F022C0F"/>
    <w:rsid w:val="0F164677"/>
    <w:rsid w:val="0F6515F2"/>
    <w:rsid w:val="0F652478"/>
    <w:rsid w:val="0F82309C"/>
    <w:rsid w:val="0FAC7D82"/>
    <w:rsid w:val="0FAE05BB"/>
    <w:rsid w:val="0FD20E67"/>
    <w:rsid w:val="103F2719"/>
    <w:rsid w:val="10455499"/>
    <w:rsid w:val="106B206D"/>
    <w:rsid w:val="10897B1F"/>
    <w:rsid w:val="1098738E"/>
    <w:rsid w:val="10C91AF0"/>
    <w:rsid w:val="10D06A97"/>
    <w:rsid w:val="10E02577"/>
    <w:rsid w:val="10E4065D"/>
    <w:rsid w:val="113C7B93"/>
    <w:rsid w:val="117F63D2"/>
    <w:rsid w:val="11DD5982"/>
    <w:rsid w:val="1225441B"/>
    <w:rsid w:val="122741D1"/>
    <w:rsid w:val="127C34CF"/>
    <w:rsid w:val="128F6095"/>
    <w:rsid w:val="12BD00BA"/>
    <w:rsid w:val="12DB158C"/>
    <w:rsid w:val="12E37E8A"/>
    <w:rsid w:val="12E4266B"/>
    <w:rsid w:val="12E431A5"/>
    <w:rsid w:val="1325684B"/>
    <w:rsid w:val="13484563"/>
    <w:rsid w:val="13A44486"/>
    <w:rsid w:val="13F31F41"/>
    <w:rsid w:val="1439106C"/>
    <w:rsid w:val="149458F5"/>
    <w:rsid w:val="14A42E7F"/>
    <w:rsid w:val="14B72444"/>
    <w:rsid w:val="15350452"/>
    <w:rsid w:val="15391BF7"/>
    <w:rsid w:val="154100B1"/>
    <w:rsid w:val="156C563C"/>
    <w:rsid w:val="15794C09"/>
    <w:rsid w:val="157B26B0"/>
    <w:rsid w:val="15A037D1"/>
    <w:rsid w:val="15C42E2E"/>
    <w:rsid w:val="15E6308B"/>
    <w:rsid w:val="161D361A"/>
    <w:rsid w:val="162D139F"/>
    <w:rsid w:val="171B52C4"/>
    <w:rsid w:val="171D6126"/>
    <w:rsid w:val="172134CE"/>
    <w:rsid w:val="174C261C"/>
    <w:rsid w:val="176D0361"/>
    <w:rsid w:val="179A576B"/>
    <w:rsid w:val="17A14B50"/>
    <w:rsid w:val="17CD2F73"/>
    <w:rsid w:val="17E32EBA"/>
    <w:rsid w:val="17E4392F"/>
    <w:rsid w:val="17ED4F85"/>
    <w:rsid w:val="18531E57"/>
    <w:rsid w:val="18712405"/>
    <w:rsid w:val="18A5113B"/>
    <w:rsid w:val="18E92B91"/>
    <w:rsid w:val="190453E5"/>
    <w:rsid w:val="19160540"/>
    <w:rsid w:val="197C278D"/>
    <w:rsid w:val="19A61413"/>
    <w:rsid w:val="19A957F7"/>
    <w:rsid w:val="1A0A1217"/>
    <w:rsid w:val="1A3C12B7"/>
    <w:rsid w:val="1AA22F9D"/>
    <w:rsid w:val="1B550089"/>
    <w:rsid w:val="1B5A4373"/>
    <w:rsid w:val="1B8D0FED"/>
    <w:rsid w:val="1BB93FB2"/>
    <w:rsid w:val="1BDE6C5E"/>
    <w:rsid w:val="1BE4709F"/>
    <w:rsid w:val="1BEB1614"/>
    <w:rsid w:val="1BED1E20"/>
    <w:rsid w:val="1BF77D2D"/>
    <w:rsid w:val="1BF95CDE"/>
    <w:rsid w:val="1C1C60C4"/>
    <w:rsid w:val="1C436AFB"/>
    <w:rsid w:val="1C830615"/>
    <w:rsid w:val="1C8A1B34"/>
    <w:rsid w:val="1C912D9B"/>
    <w:rsid w:val="1CBA2222"/>
    <w:rsid w:val="1CD71AF1"/>
    <w:rsid w:val="1CD72C62"/>
    <w:rsid w:val="1D2C2D35"/>
    <w:rsid w:val="1D39446C"/>
    <w:rsid w:val="1D4B2662"/>
    <w:rsid w:val="1D59080D"/>
    <w:rsid w:val="1D7C40D3"/>
    <w:rsid w:val="1D9F7FAB"/>
    <w:rsid w:val="1DDD39DF"/>
    <w:rsid w:val="1DEC2FAB"/>
    <w:rsid w:val="1DFE5A70"/>
    <w:rsid w:val="1E065EBE"/>
    <w:rsid w:val="1E665540"/>
    <w:rsid w:val="1E921CF0"/>
    <w:rsid w:val="1EC24EC9"/>
    <w:rsid w:val="1EDF30B3"/>
    <w:rsid w:val="1F1D334C"/>
    <w:rsid w:val="1F280A7A"/>
    <w:rsid w:val="1F624DDF"/>
    <w:rsid w:val="1F9A4B03"/>
    <w:rsid w:val="1FB534BA"/>
    <w:rsid w:val="1FD85700"/>
    <w:rsid w:val="201578AA"/>
    <w:rsid w:val="201F4C30"/>
    <w:rsid w:val="203C0D11"/>
    <w:rsid w:val="2051597E"/>
    <w:rsid w:val="20683515"/>
    <w:rsid w:val="20786874"/>
    <w:rsid w:val="20A400C0"/>
    <w:rsid w:val="20A400D2"/>
    <w:rsid w:val="20C84494"/>
    <w:rsid w:val="20E94E61"/>
    <w:rsid w:val="210E7F62"/>
    <w:rsid w:val="21681D82"/>
    <w:rsid w:val="2199403A"/>
    <w:rsid w:val="219A3A2F"/>
    <w:rsid w:val="21A14AFA"/>
    <w:rsid w:val="21A42550"/>
    <w:rsid w:val="21B170D8"/>
    <w:rsid w:val="21CC59AC"/>
    <w:rsid w:val="21F42DE7"/>
    <w:rsid w:val="223A2580"/>
    <w:rsid w:val="22686FBE"/>
    <w:rsid w:val="22B00D35"/>
    <w:rsid w:val="22E74031"/>
    <w:rsid w:val="23206DBF"/>
    <w:rsid w:val="23364F1D"/>
    <w:rsid w:val="23D1091D"/>
    <w:rsid w:val="23D95E9D"/>
    <w:rsid w:val="24170BD9"/>
    <w:rsid w:val="24196401"/>
    <w:rsid w:val="24296FF5"/>
    <w:rsid w:val="247114A6"/>
    <w:rsid w:val="24CA6A7B"/>
    <w:rsid w:val="24D730CC"/>
    <w:rsid w:val="24E034CB"/>
    <w:rsid w:val="24EB56A8"/>
    <w:rsid w:val="24EE4729"/>
    <w:rsid w:val="25375DC0"/>
    <w:rsid w:val="25627389"/>
    <w:rsid w:val="25A64B23"/>
    <w:rsid w:val="25ED5258"/>
    <w:rsid w:val="26092351"/>
    <w:rsid w:val="261F032A"/>
    <w:rsid w:val="262A4F86"/>
    <w:rsid w:val="26321E36"/>
    <w:rsid w:val="2640039D"/>
    <w:rsid w:val="26460A16"/>
    <w:rsid w:val="26723BA7"/>
    <w:rsid w:val="267959F5"/>
    <w:rsid w:val="26E645DA"/>
    <w:rsid w:val="26F53D0F"/>
    <w:rsid w:val="26F82453"/>
    <w:rsid w:val="27522AA6"/>
    <w:rsid w:val="275F1BC2"/>
    <w:rsid w:val="27715EB5"/>
    <w:rsid w:val="277A4422"/>
    <w:rsid w:val="277A5573"/>
    <w:rsid w:val="2789541E"/>
    <w:rsid w:val="282836B2"/>
    <w:rsid w:val="288838CA"/>
    <w:rsid w:val="28F346A2"/>
    <w:rsid w:val="290123CD"/>
    <w:rsid w:val="29101006"/>
    <w:rsid w:val="29114216"/>
    <w:rsid w:val="296A569E"/>
    <w:rsid w:val="29807988"/>
    <w:rsid w:val="29A41A97"/>
    <w:rsid w:val="29CD29B3"/>
    <w:rsid w:val="29E711D6"/>
    <w:rsid w:val="29FE0043"/>
    <w:rsid w:val="2A1453AA"/>
    <w:rsid w:val="2A32516A"/>
    <w:rsid w:val="2A34159F"/>
    <w:rsid w:val="2A3A12C5"/>
    <w:rsid w:val="2A6811C0"/>
    <w:rsid w:val="2A8B1927"/>
    <w:rsid w:val="2B012569"/>
    <w:rsid w:val="2B067780"/>
    <w:rsid w:val="2B076E17"/>
    <w:rsid w:val="2B21440C"/>
    <w:rsid w:val="2B2A36AD"/>
    <w:rsid w:val="2B6C5FB4"/>
    <w:rsid w:val="2B866544"/>
    <w:rsid w:val="2BDF1CBB"/>
    <w:rsid w:val="2BF12E4F"/>
    <w:rsid w:val="2BF26ED4"/>
    <w:rsid w:val="2BF76009"/>
    <w:rsid w:val="2C203CE1"/>
    <w:rsid w:val="2C26777C"/>
    <w:rsid w:val="2C32052F"/>
    <w:rsid w:val="2C513C2F"/>
    <w:rsid w:val="2C5160D9"/>
    <w:rsid w:val="2C5739F8"/>
    <w:rsid w:val="2C8F26B5"/>
    <w:rsid w:val="2CCF0285"/>
    <w:rsid w:val="2CE71A27"/>
    <w:rsid w:val="2CFA0DC9"/>
    <w:rsid w:val="2D067DD8"/>
    <w:rsid w:val="2D1278BB"/>
    <w:rsid w:val="2D352453"/>
    <w:rsid w:val="2D8B28E5"/>
    <w:rsid w:val="2D924269"/>
    <w:rsid w:val="2DA944E7"/>
    <w:rsid w:val="2DBA7652"/>
    <w:rsid w:val="2DFA5265"/>
    <w:rsid w:val="2E2936A7"/>
    <w:rsid w:val="2E346D1E"/>
    <w:rsid w:val="2E3A53FE"/>
    <w:rsid w:val="2E825006"/>
    <w:rsid w:val="2EB10585"/>
    <w:rsid w:val="2ECD3166"/>
    <w:rsid w:val="2F17145C"/>
    <w:rsid w:val="2F286D6F"/>
    <w:rsid w:val="2F340977"/>
    <w:rsid w:val="2F4655F8"/>
    <w:rsid w:val="2F5939BC"/>
    <w:rsid w:val="2F7A449C"/>
    <w:rsid w:val="2F97399D"/>
    <w:rsid w:val="2FA4037D"/>
    <w:rsid w:val="2FF30B63"/>
    <w:rsid w:val="30197530"/>
    <w:rsid w:val="30486A3F"/>
    <w:rsid w:val="30566A00"/>
    <w:rsid w:val="30805F13"/>
    <w:rsid w:val="30AF5993"/>
    <w:rsid w:val="30B30C97"/>
    <w:rsid w:val="30D0250B"/>
    <w:rsid w:val="31050D75"/>
    <w:rsid w:val="31372040"/>
    <w:rsid w:val="31620D3B"/>
    <w:rsid w:val="316566D0"/>
    <w:rsid w:val="317739F0"/>
    <w:rsid w:val="317F72D2"/>
    <w:rsid w:val="318F27CE"/>
    <w:rsid w:val="31A024F0"/>
    <w:rsid w:val="31A2447A"/>
    <w:rsid w:val="31B30A2F"/>
    <w:rsid w:val="31DC7016"/>
    <w:rsid w:val="32555909"/>
    <w:rsid w:val="329E5806"/>
    <w:rsid w:val="33102488"/>
    <w:rsid w:val="334479CF"/>
    <w:rsid w:val="334C7177"/>
    <w:rsid w:val="33752CAF"/>
    <w:rsid w:val="33D8527C"/>
    <w:rsid w:val="33DD2A1F"/>
    <w:rsid w:val="33F474FA"/>
    <w:rsid w:val="340265E9"/>
    <w:rsid w:val="340F5D54"/>
    <w:rsid w:val="341177D1"/>
    <w:rsid w:val="342015F0"/>
    <w:rsid w:val="34AF2198"/>
    <w:rsid w:val="34BA01DE"/>
    <w:rsid w:val="34C249C9"/>
    <w:rsid w:val="34D10391"/>
    <w:rsid w:val="34D37223"/>
    <w:rsid w:val="35324E2A"/>
    <w:rsid w:val="3545420A"/>
    <w:rsid w:val="354D774B"/>
    <w:rsid w:val="356D34D2"/>
    <w:rsid w:val="359D5B2A"/>
    <w:rsid w:val="36185362"/>
    <w:rsid w:val="361B61B5"/>
    <w:rsid w:val="36B52569"/>
    <w:rsid w:val="36F672B8"/>
    <w:rsid w:val="36F96A93"/>
    <w:rsid w:val="36FC77B4"/>
    <w:rsid w:val="3703134C"/>
    <w:rsid w:val="370D04B4"/>
    <w:rsid w:val="37270EA2"/>
    <w:rsid w:val="37343086"/>
    <w:rsid w:val="37802EF9"/>
    <w:rsid w:val="37D85BB0"/>
    <w:rsid w:val="37DA717B"/>
    <w:rsid w:val="38052090"/>
    <w:rsid w:val="38212339"/>
    <w:rsid w:val="38215C14"/>
    <w:rsid w:val="38720884"/>
    <w:rsid w:val="38742F20"/>
    <w:rsid w:val="388430C7"/>
    <w:rsid w:val="38EB10D7"/>
    <w:rsid w:val="38F22E86"/>
    <w:rsid w:val="397B4A83"/>
    <w:rsid w:val="39D40C13"/>
    <w:rsid w:val="39E66259"/>
    <w:rsid w:val="3A0D44CE"/>
    <w:rsid w:val="3A662AE6"/>
    <w:rsid w:val="3A9171B5"/>
    <w:rsid w:val="3A990D36"/>
    <w:rsid w:val="3AA952F0"/>
    <w:rsid w:val="3AC364E3"/>
    <w:rsid w:val="3AE16B3A"/>
    <w:rsid w:val="3B192B3D"/>
    <w:rsid w:val="3B1A4330"/>
    <w:rsid w:val="3B5027C3"/>
    <w:rsid w:val="3B7C2B62"/>
    <w:rsid w:val="3B9D3E78"/>
    <w:rsid w:val="3BC37118"/>
    <w:rsid w:val="3BCA3557"/>
    <w:rsid w:val="3BD30E3F"/>
    <w:rsid w:val="3BE47B66"/>
    <w:rsid w:val="3C1E3F2D"/>
    <w:rsid w:val="3C2E1154"/>
    <w:rsid w:val="3C407BC3"/>
    <w:rsid w:val="3C5D7F81"/>
    <w:rsid w:val="3C5F6965"/>
    <w:rsid w:val="3C876987"/>
    <w:rsid w:val="3C9D56B0"/>
    <w:rsid w:val="3CA809E4"/>
    <w:rsid w:val="3CD06E64"/>
    <w:rsid w:val="3CD96496"/>
    <w:rsid w:val="3CDE35D8"/>
    <w:rsid w:val="3CE84BAB"/>
    <w:rsid w:val="3D172300"/>
    <w:rsid w:val="3D2A2357"/>
    <w:rsid w:val="3D524EC4"/>
    <w:rsid w:val="3D7D0F4B"/>
    <w:rsid w:val="3DAC2557"/>
    <w:rsid w:val="3DAE726F"/>
    <w:rsid w:val="3DDF6254"/>
    <w:rsid w:val="3DEB6427"/>
    <w:rsid w:val="3DF45176"/>
    <w:rsid w:val="3DF87607"/>
    <w:rsid w:val="3E236829"/>
    <w:rsid w:val="3E550663"/>
    <w:rsid w:val="3E731416"/>
    <w:rsid w:val="3EA72497"/>
    <w:rsid w:val="3F2F2575"/>
    <w:rsid w:val="3F3E12E2"/>
    <w:rsid w:val="3F413FF9"/>
    <w:rsid w:val="3F6E5182"/>
    <w:rsid w:val="3F8D4477"/>
    <w:rsid w:val="3F9C096C"/>
    <w:rsid w:val="3FAE0A3A"/>
    <w:rsid w:val="3FAF356E"/>
    <w:rsid w:val="3FB33956"/>
    <w:rsid w:val="401F7CBA"/>
    <w:rsid w:val="40277A63"/>
    <w:rsid w:val="40307CD0"/>
    <w:rsid w:val="40632C00"/>
    <w:rsid w:val="40AE5449"/>
    <w:rsid w:val="40D652E1"/>
    <w:rsid w:val="40EA16D2"/>
    <w:rsid w:val="41126E8E"/>
    <w:rsid w:val="412040EF"/>
    <w:rsid w:val="41820358"/>
    <w:rsid w:val="41845DA5"/>
    <w:rsid w:val="419A64E1"/>
    <w:rsid w:val="419B52AB"/>
    <w:rsid w:val="41AC69A3"/>
    <w:rsid w:val="41E505FA"/>
    <w:rsid w:val="420B1BED"/>
    <w:rsid w:val="424A7C23"/>
    <w:rsid w:val="424D3223"/>
    <w:rsid w:val="42567369"/>
    <w:rsid w:val="42927792"/>
    <w:rsid w:val="4299763E"/>
    <w:rsid w:val="431E3B0F"/>
    <w:rsid w:val="4320224A"/>
    <w:rsid w:val="43A77651"/>
    <w:rsid w:val="43DD2BB8"/>
    <w:rsid w:val="43E86F98"/>
    <w:rsid w:val="44295728"/>
    <w:rsid w:val="443F4753"/>
    <w:rsid w:val="44576464"/>
    <w:rsid w:val="44F8529C"/>
    <w:rsid w:val="45222539"/>
    <w:rsid w:val="45435AC3"/>
    <w:rsid w:val="45834E42"/>
    <w:rsid w:val="458F5E6F"/>
    <w:rsid w:val="45C510A2"/>
    <w:rsid w:val="45DF7256"/>
    <w:rsid w:val="45F015BF"/>
    <w:rsid w:val="45F43BFA"/>
    <w:rsid w:val="461C2863"/>
    <w:rsid w:val="46451D4D"/>
    <w:rsid w:val="465F529F"/>
    <w:rsid w:val="46845A8E"/>
    <w:rsid w:val="46A4553F"/>
    <w:rsid w:val="4720100E"/>
    <w:rsid w:val="474868E9"/>
    <w:rsid w:val="47E56AEE"/>
    <w:rsid w:val="47EC198D"/>
    <w:rsid w:val="48333BB0"/>
    <w:rsid w:val="485800A4"/>
    <w:rsid w:val="487D04E0"/>
    <w:rsid w:val="48B225E4"/>
    <w:rsid w:val="494214DE"/>
    <w:rsid w:val="49EE3E7A"/>
    <w:rsid w:val="4A047FA7"/>
    <w:rsid w:val="4A1455AD"/>
    <w:rsid w:val="4A201E28"/>
    <w:rsid w:val="4A56653D"/>
    <w:rsid w:val="4AAA3CF1"/>
    <w:rsid w:val="4AC266CD"/>
    <w:rsid w:val="4ACE6690"/>
    <w:rsid w:val="4ADC1A27"/>
    <w:rsid w:val="4B7C1EBC"/>
    <w:rsid w:val="4BB61198"/>
    <w:rsid w:val="4BC160DE"/>
    <w:rsid w:val="4BF82F02"/>
    <w:rsid w:val="4C0C78E5"/>
    <w:rsid w:val="4C685E36"/>
    <w:rsid w:val="4C8F0C92"/>
    <w:rsid w:val="4CB12950"/>
    <w:rsid w:val="4CB13109"/>
    <w:rsid w:val="4CDF554E"/>
    <w:rsid w:val="4D1E77C9"/>
    <w:rsid w:val="4D301B69"/>
    <w:rsid w:val="4D470830"/>
    <w:rsid w:val="4D5F2067"/>
    <w:rsid w:val="4D984173"/>
    <w:rsid w:val="4DC67EF9"/>
    <w:rsid w:val="4DCB7375"/>
    <w:rsid w:val="4DE00FAB"/>
    <w:rsid w:val="4DFC0472"/>
    <w:rsid w:val="4E7D1450"/>
    <w:rsid w:val="4E7E042C"/>
    <w:rsid w:val="4F137096"/>
    <w:rsid w:val="4F2E661D"/>
    <w:rsid w:val="4F350901"/>
    <w:rsid w:val="4F396E54"/>
    <w:rsid w:val="4F461735"/>
    <w:rsid w:val="4FA14EAA"/>
    <w:rsid w:val="4FB87673"/>
    <w:rsid w:val="4FDF65B2"/>
    <w:rsid w:val="4FF0718B"/>
    <w:rsid w:val="50031265"/>
    <w:rsid w:val="503F1E3F"/>
    <w:rsid w:val="5068135C"/>
    <w:rsid w:val="50727336"/>
    <w:rsid w:val="508638FF"/>
    <w:rsid w:val="509C048C"/>
    <w:rsid w:val="50A13E78"/>
    <w:rsid w:val="50B663C0"/>
    <w:rsid w:val="510F0E03"/>
    <w:rsid w:val="51305488"/>
    <w:rsid w:val="51410C26"/>
    <w:rsid w:val="51490187"/>
    <w:rsid w:val="515D5B21"/>
    <w:rsid w:val="51821D73"/>
    <w:rsid w:val="518E1973"/>
    <w:rsid w:val="51A9646F"/>
    <w:rsid w:val="51B4476F"/>
    <w:rsid w:val="51C15250"/>
    <w:rsid w:val="52425577"/>
    <w:rsid w:val="52665836"/>
    <w:rsid w:val="527F7EB5"/>
    <w:rsid w:val="528962DE"/>
    <w:rsid w:val="52B021EB"/>
    <w:rsid w:val="52F70CD8"/>
    <w:rsid w:val="533715C4"/>
    <w:rsid w:val="5338412E"/>
    <w:rsid w:val="53B81DB5"/>
    <w:rsid w:val="53BD2EF2"/>
    <w:rsid w:val="541E7445"/>
    <w:rsid w:val="54247CD9"/>
    <w:rsid w:val="54263FAC"/>
    <w:rsid w:val="5487571F"/>
    <w:rsid w:val="54DE3523"/>
    <w:rsid w:val="55050EC8"/>
    <w:rsid w:val="55115A59"/>
    <w:rsid w:val="551F67EC"/>
    <w:rsid w:val="554C040B"/>
    <w:rsid w:val="55A44A68"/>
    <w:rsid w:val="55AE2C67"/>
    <w:rsid w:val="55D54275"/>
    <w:rsid w:val="55D81726"/>
    <w:rsid w:val="55DD4BED"/>
    <w:rsid w:val="55E475D5"/>
    <w:rsid w:val="55FC2F90"/>
    <w:rsid w:val="56184259"/>
    <w:rsid w:val="562163F5"/>
    <w:rsid w:val="563132F8"/>
    <w:rsid w:val="5647137A"/>
    <w:rsid w:val="564838A9"/>
    <w:rsid w:val="566068E5"/>
    <w:rsid w:val="56807F53"/>
    <w:rsid w:val="56A0174E"/>
    <w:rsid w:val="56A22C9D"/>
    <w:rsid w:val="56E00468"/>
    <w:rsid w:val="573E2535"/>
    <w:rsid w:val="57423805"/>
    <w:rsid w:val="576F1565"/>
    <w:rsid w:val="57845D0D"/>
    <w:rsid w:val="578D4D22"/>
    <w:rsid w:val="57A239D8"/>
    <w:rsid w:val="57E166E7"/>
    <w:rsid w:val="57EB038F"/>
    <w:rsid w:val="581D365F"/>
    <w:rsid w:val="58210D33"/>
    <w:rsid w:val="5852006A"/>
    <w:rsid w:val="58846C03"/>
    <w:rsid w:val="58872BC1"/>
    <w:rsid w:val="58A40170"/>
    <w:rsid w:val="58BB26B5"/>
    <w:rsid w:val="58D2554B"/>
    <w:rsid w:val="595C520D"/>
    <w:rsid w:val="597E53A5"/>
    <w:rsid w:val="59B61401"/>
    <w:rsid w:val="59C00827"/>
    <w:rsid w:val="59C86BD3"/>
    <w:rsid w:val="59CD5882"/>
    <w:rsid w:val="5A3D6D7C"/>
    <w:rsid w:val="5A512E0A"/>
    <w:rsid w:val="5A560CC5"/>
    <w:rsid w:val="5A6226D3"/>
    <w:rsid w:val="5A846460"/>
    <w:rsid w:val="5AB8063B"/>
    <w:rsid w:val="5AB96611"/>
    <w:rsid w:val="5B290A0C"/>
    <w:rsid w:val="5B2B4867"/>
    <w:rsid w:val="5B5C7F72"/>
    <w:rsid w:val="5B637B29"/>
    <w:rsid w:val="5B812DC7"/>
    <w:rsid w:val="5B861B57"/>
    <w:rsid w:val="5C043201"/>
    <w:rsid w:val="5C380E9C"/>
    <w:rsid w:val="5C483E07"/>
    <w:rsid w:val="5C5270F1"/>
    <w:rsid w:val="5C6315A6"/>
    <w:rsid w:val="5C80703B"/>
    <w:rsid w:val="5CC3668B"/>
    <w:rsid w:val="5D055E55"/>
    <w:rsid w:val="5D0D2377"/>
    <w:rsid w:val="5D5A364F"/>
    <w:rsid w:val="5D865C90"/>
    <w:rsid w:val="5DB62BE3"/>
    <w:rsid w:val="5DF51B0A"/>
    <w:rsid w:val="5E1D0526"/>
    <w:rsid w:val="5E35471D"/>
    <w:rsid w:val="5E5E4F6F"/>
    <w:rsid w:val="5E606C61"/>
    <w:rsid w:val="5E995628"/>
    <w:rsid w:val="5EA74DF6"/>
    <w:rsid w:val="5F0B57B4"/>
    <w:rsid w:val="5F1E5B3A"/>
    <w:rsid w:val="5F6575D0"/>
    <w:rsid w:val="5F6C7CFF"/>
    <w:rsid w:val="5F7B3FB7"/>
    <w:rsid w:val="5FB1399E"/>
    <w:rsid w:val="5FD95352"/>
    <w:rsid w:val="5FE37DB6"/>
    <w:rsid w:val="5FE870E3"/>
    <w:rsid w:val="5FEC67CD"/>
    <w:rsid w:val="605725E4"/>
    <w:rsid w:val="607D410F"/>
    <w:rsid w:val="608336BA"/>
    <w:rsid w:val="613412B1"/>
    <w:rsid w:val="61626B49"/>
    <w:rsid w:val="61721A9C"/>
    <w:rsid w:val="61BE315C"/>
    <w:rsid w:val="61D349CE"/>
    <w:rsid w:val="61DB7A94"/>
    <w:rsid w:val="620F64D0"/>
    <w:rsid w:val="622455C7"/>
    <w:rsid w:val="623468E9"/>
    <w:rsid w:val="627B40E5"/>
    <w:rsid w:val="62842590"/>
    <w:rsid w:val="62965A26"/>
    <w:rsid w:val="62BA2D43"/>
    <w:rsid w:val="62BA6707"/>
    <w:rsid w:val="62DE1366"/>
    <w:rsid w:val="62F23235"/>
    <w:rsid w:val="631B26B1"/>
    <w:rsid w:val="63526493"/>
    <w:rsid w:val="63627A2C"/>
    <w:rsid w:val="63A51104"/>
    <w:rsid w:val="63AA682E"/>
    <w:rsid w:val="63AE34D9"/>
    <w:rsid w:val="63E40F1E"/>
    <w:rsid w:val="63FC7646"/>
    <w:rsid w:val="64271313"/>
    <w:rsid w:val="646F2DAC"/>
    <w:rsid w:val="647660AC"/>
    <w:rsid w:val="648E720D"/>
    <w:rsid w:val="64B139E7"/>
    <w:rsid w:val="64B34314"/>
    <w:rsid w:val="64E047EB"/>
    <w:rsid w:val="64E07364"/>
    <w:rsid w:val="65261A74"/>
    <w:rsid w:val="653A6291"/>
    <w:rsid w:val="65A10085"/>
    <w:rsid w:val="65A71740"/>
    <w:rsid w:val="65FA465C"/>
    <w:rsid w:val="66234722"/>
    <w:rsid w:val="66272AC3"/>
    <w:rsid w:val="66306683"/>
    <w:rsid w:val="6686178A"/>
    <w:rsid w:val="66AF689A"/>
    <w:rsid w:val="66CE076F"/>
    <w:rsid w:val="66FA35B5"/>
    <w:rsid w:val="672117EA"/>
    <w:rsid w:val="674C62B8"/>
    <w:rsid w:val="67A02279"/>
    <w:rsid w:val="67AD113C"/>
    <w:rsid w:val="67B370F2"/>
    <w:rsid w:val="67F700E7"/>
    <w:rsid w:val="67FE5B85"/>
    <w:rsid w:val="6806645D"/>
    <w:rsid w:val="686326B4"/>
    <w:rsid w:val="68E22579"/>
    <w:rsid w:val="68F5111F"/>
    <w:rsid w:val="6902143A"/>
    <w:rsid w:val="691B564D"/>
    <w:rsid w:val="69397009"/>
    <w:rsid w:val="6963758C"/>
    <w:rsid w:val="698249AE"/>
    <w:rsid w:val="69D23BC4"/>
    <w:rsid w:val="6A02557E"/>
    <w:rsid w:val="6A2B44FA"/>
    <w:rsid w:val="6A38633A"/>
    <w:rsid w:val="6A3E57AA"/>
    <w:rsid w:val="6A847DBE"/>
    <w:rsid w:val="6A8900A2"/>
    <w:rsid w:val="6A8D6849"/>
    <w:rsid w:val="6AB72AD4"/>
    <w:rsid w:val="6ABF372E"/>
    <w:rsid w:val="6ADE08EE"/>
    <w:rsid w:val="6AF43EF3"/>
    <w:rsid w:val="6B111CEA"/>
    <w:rsid w:val="6B225169"/>
    <w:rsid w:val="6B94150B"/>
    <w:rsid w:val="6BAD1FF3"/>
    <w:rsid w:val="6BD3211B"/>
    <w:rsid w:val="6BF35B53"/>
    <w:rsid w:val="6BF76AD5"/>
    <w:rsid w:val="6C012843"/>
    <w:rsid w:val="6C24322F"/>
    <w:rsid w:val="6C3D3858"/>
    <w:rsid w:val="6C5D2439"/>
    <w:rsid w:val="6C893C18"/>
    <w:rsid w:val="6C8C664B"/>
    <w:rsid w:val="6CB80127"/>
    <w:rsid w:val="6D23760C"/>
    <w:rsid w:val="6D266E22"/>
    <w:rsid w:val="6D300776"/>
    <w:rsid w:val="6D7170C1"/>
    <w:rsid w:val="6D727B6E"/>
    <w:rsid w:val="6DA927BD"/>
    <w:rsid w:val="6DC05153"/>
    <w:rsid w:val="6DC23D39"/>
    <w:rsid w:val="6E005ABD"/>
    <w:rsid w:val="6E0237D0"/>
    <w:rsid w:val="6E1C1394"/>
    <w:rsid w:val="6E525743"/>
    <w:rsid w:val="6E9D1955"/>
    <w:rsid w:val="6EAD5EAD"/>
    <w:rsid w:val="6EDE0FB3"/>
    <w:rsid w:val="6EE50240"/>
    <w:rsid w:val="6F084023"/>
    <w:rsid w:val="6F0C08FA"/>
    <w:rsid w:val="6F197A07"/>
    <w:rsid w:val="6F1F78BC"/>
    <w:rsid w:val="6F34778A"/>
    <w:rsid w:val="6F3978DB"/>
    <w:rsid w:val="6F3E7DAA"/>
    <w:rsid w:val="6F8D1144"/>
    <w:rsid w:val="6FB22E33"/>
    <w:rsid w:val="6FC82650"/>
    <w:rsid w:val="6FCF617A"/>
    <w:rsid w:val="6FD66E31"/>
    <w:rsid w:val="700B682E"/>
    <w:rsid w:val="7098749B"/>
    <w:rsid w:val="70B52CA7"/>
    <w:rsid w:val="70E43EB1"/>
    <w:rsid w:val="70F64EE7"/>
    <w:rsid w:val="71033920"/>
    <w:rsid w:val="71410A19"/>
    <w:rsid w:val="71AC6443"/>
    <w:rsid w:val="71CD3F1A"/>
    <w:rsid w:val="72426A97"/>
    <w:rsid w:val="726270B3"/>
    <w:rsid w:val="72627CCF"/>
    <w:rsid w:val="727B06D2"/>
    <w:rsid w:val="72D40269"/>
    <w:rsid w:val="72F230F6"/>
    <w:rsid w:val="73916998"/>
    <w:rsid w:val="73A44F52"/>
    <w:rsid w:val="73CD340E"/>
    <w:rsid w:val="73E4255C"/>
    <w:rsid w:val="740C240C"/>
    <w:rsid w:val="744B6DD6"/>
    <w:rsid w:val="745D673C"/>
    <w:rsid w:val="7492549F"/>
    <w:rsid w:val="749655C0"/>
    <w:rsid w:val="74C350A5"/>
    <w:rsid w:val="74D951EC"/>
    <w:rsid w:val="751B7C91"/>
    <w:rsid w:val="75262CB7"/>
    <w:rsid w:val="753B6A1B"/>
    <w:rsid w:val="7566575C"/>
    <w:rsid w:val="761265B4"/>
    <w:rsid w:val="762C20AA"/>
    <w:rsid w:val="76793B6B"/>
    <w:rsid w:val="767C1B8C"/>
    <w:rsid w:val="76806C32"/>
    <w:rsid w:val="768B0152"/>
    <w:rsid w:val="76E81699"/>
    <w:rsid w:val="76F611DE"/>
    <w:rsid w:val="77044040"/>
    <w:rsid w:val="77090DAB"/>
    <w:rsid w:val="775034E9"/>
    <w:rsid w:val="776B259E"/>
    <w:rsid w:val="777846A2"/>
    <w:rsid w:val="77A42E67"/>
    <w:rsid w:val="77A869C7"/>
    <w:rsid w:val="77B86B5E"/>
    <w:rsid w:val="77C069DB"/>
    <w:rsid w:val="77C72931"/>
    <w:rsid w:val="77EA0E8C"/>
    <w:rsid w:val="783F2EE4"/>
    <w:rsid w:val="784A36CB"/>
    <w:rsid w:val="78566EEA"/>
    <w:rsid w:val="78842C2D"/>
    <w:rsid w:val="78885195"/>
    <w:rsid w:val="78A154F4"/>
    <w:rsid w:val="78A72D29"/>
    <w:rsid w:val="78B4274B"/>
    <w:rsid w:val="78BC1CA5"/>
    <w:rsid w:val="78E125D0"/>
    <w:rsid w:val="790C4A35"/>
    <w:rsid w:val="796E57A2"/>
    <w:rsid w:val="79A85F2C"/>
    <w:rsid w:val="7A0B59C1"/>
    <w:rsid w:val="7A17455E"/>
    <w:rsid w:val="7A7B2632"/>
    <w:rsid w:val="7A7C3764"/>
    <w:rsid w:val="7AA30C3B"/>
    <w:rsid w:val="7AD90EB3"/>
    <w:rsid w:val="7AF91714"/>
    <w:rsid w:val="7B000FCE"/>
    <w:rsid w:val="7B5C6F08"/>
    <w:rsid w:val="7B823C45"/>
    <w:rsid w:val="7B826307"/>
    <w:rsid w:val="7B915CAF"/>
    <w:rsid w:val="7BE52473"/>
    <w:rsid w:val="7BF1554C"/>
    <w:rsid w:val="7C12537A"/>
    <w:rsid w:val="7C1308BA"/>
    <w:rsid w:val="7C1D6EA5"/>
    <w:rsid w:val="7C7F2CCF"/>
    <w:rsid w:val="7C9D1D64"/>
    <w:rsid w:val="7CAF04F3"/>
    <w:rsid w:val="7CAF13BF"/>
    <w:rsid w:val="7CF20C20"/>
    <w:rsid w:val="7CFE2762"/>
    <w:rsid w:val="7D2B3CFA"/>
    <w:rsid w:val="7D97000C"/>
    <w:rsid w:val="7DC67E74"/>
    <w:rsid w:val="7DE045C9"/>
    <w:rsid w:val="7DE4319B"/>
    <w:rsid w:val="7E2B02B9"/>
    <w:rsid w:val="7E5108F6"/>
    <w:rsid w:val="7E863D3A"/>
    <w:rsid w:val="7ED23544"/>
    <w:rsid w:val="7ED73FCD"/>
    <w:rsid w:val="7F60107B"/>
    <w:rsid w:val="7FAE000B"/>
    <w:rsid w:val="7FBB7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heme="minorHAnsi" w:hAnsiTheme="minorHAnsi" w:eastAsiaTheme="minorEastAsia" w:cstheme="minorBidi"/>
      <w:sz w:val="24"/>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600" w:lineRule="exact"/>
      <w:ind w:firstLine="420" w:firstLineChars="200"/>
    </w:pPr>
    <w:rPr>
      <w:rFonts w:eastAsia="仿宋_GB2312"/>
      <w:sz w:val="34"/>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6">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3469</Words>
  <Characters>3592</Characters>
  <Lines>26</Lines>
  <Paragraphs>7</Paragraphs>
  <TotalTime>44</TotalTime>
  <ScaleCrop>false</ScaleCrop>
  <LinksUpToDate>false</LinksUpToDate>
  <CharactersWithSpaces>3608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2023-10-06T12:59:00Z</dcterms:created>
  <dc:creator>yzshi</dc:creator>
  <cp:lastModifiedBy>Admin</cp:lastModifiedBy>
  <dcterms:modified xsi:type="dcterms:W3CDTF">2026-09-17T03:25:33Z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CDC0C92D7E7B43F08BCE365356D586AC_12</vt:lpwstr>
  </property>
  <property fmtid="{D5CDD505-2E9C-101B-9397-08002B2CF9AE}" pid="4" name="KSOTemplateDocerSaveRecord">
    <vt:lpwstr>eyJoZGlkIjoiZWJjMTRlZWQ3ZTc2MGRiZWM1OTY5NGQ3NGY0NGNmN2YiLCJ1c2VySWQiOiI1NzcwMDAyMTEifQ==</vt:lpwstr>
  </property>
</Properties>
</file>