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黑体" w:cs="Times New Roman"/>
          <w:color w:val="000000" w:themeColor="text1"/>
          <w:sz w:val="28"/>
          <w:szCs w:val="28"/>
          <w14:textFill>
            <w14:solidFill>
              <w14:schemeClr w14:val="tx1"/>
            </w14:solidFill>
          </w14:textFill>
        </w:rPr>
      </w:pPr>
      <w:r>
        <w:rPr>
          <w:rFonts w:hint="default" w:ascii="Times New Roman" w:hAnsi="Times New Roman" w:eastAsia="黑体" w:cs="Times New Roman"/>
          <w:color w:val="000000" w:themeColor="text1"/>
          <w:sz w:val="28"/>
          <w:szCs w:val="28"/>
          <w14:textFill>
            <w14:solidFill>
              <w14:schemeClr w14:val="tx1"/>
            </w14:solidFill>
          </w14:textFill>
        </w:rPr>
        <w:t>附件2</w:t>
      </w:r>
    </w:p>
    <w:p>
      <w:pPr>
        <w:pStyle w:val="2"/>
        <w:spacing w:line="440" w:lineRule="exact"/>
        <w:jc w:val="center"/>
        <w:outlineLvl w:val="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水土保持方案报告书</w:t>
      </w:r>
      <w:r>
        <w:rPr>
          <w:rFonts w:hint="eastAsia" w:ascii="黑体" w:hAnsi="黑体" w:eastAsia="黑体" w:cs="黑体"/>
          <w:color w:val="000000" w:themeColor="text1"/>
          <w:sz w:val="32"/>
          <w:szCs w:val="32"/>
          <w:lang w:eastAsia="zh-CN"/>
          <w14:textFill>
            <w14:solidFill>
              <w14:schemeClr w14:val="tx1"/>
            </w14:solidFill>
          </w14:textFill>
        </w:rPr>
        <w:t>批复</w:t>
      </w:r>
      <w:r>
        <w:rPr>
          <w:rFonts w:hint="eastAsia" w:ascii="黑体" w:hAnsi="黑体" w:eastAsia="黑体" w:cs="黑体"/>
          <w:color w:val="000000" w:themeColor="text1"/>
          <w:sz w:val="32"/>
          <w:szCs w:val="32"/>
          <w14:textFill>
            <w14:solidFill>
              <w14:schemeClr w14:val="tx1"/>
            </w14:solidFill>
          </w14:textFill>
        </w:rPr>
        <w:t>文件</w:t>
      </w:r>
    </w:p>
    <w:p>
      <w:pPr>
        <w:pStyle w:val="2"/>
        <w:spacing w:line="440" w:lineRule="exact"/>
        <w:jc w:val="center"/>
        <w:rPr>
          <w:rFonts w:ascii="仿宋_GB2312" w:hAnsi="仿宋_GB2312" w:eastAsia="仿宋_GB2312" w:cs="仿宋_GB2312"/>
          <w:color w:val="000000" w:themeColor="text1"/>
          <w:sz w:val="24"/>
          <w14:textFill>
            <w14:solidFill>
              <w14:schemeClr w14:val="tx1"/>
            </w14:solidFill>
          </w14:textFill>
        </w:rPr>
      </w:pPr>
      <w:r>
        <w:rPr>
          <w:rFonts w:hint="default" w:ascii="Times New Roman" w:hAnsi="Times New Roman" w:eastAsia="仿宋_GB2312" w:cs="Times New Roman"/>
          <w:color w:val="000000" w:themeColor="text1"/>
          <w:sz w:val="24"/>
          <w14:textFill>
            <w14:solidFill>
              <w14:schemeClr w14:val="tx1"/>
            </w14:solidFill>
          </w14:textFill>
        </w:rPr>
        <w:t>（202</w:t>
      </w:r>
      <w:r>
        <w:rPr>
          <w:rFonts w:hint="eastAsia" w:eastAsia="仿宋_GB2312" w:cs="Times New Roman"/>
          <w:color w:val="000000" w:themeColor="text1"/>
          <w:sz w:val="24"/>
          <w:lang w:val="en-US" w:eastAsia="zh-CN"/>
          <w14:textFill>
            <w14:solidFill>
              <w14:schemeClr w14:val="tx1"/>
            </w14:solidFill>
          </w14:textFill>
        </w:rPr>
        <w:t>6</w:t>
      </w:r>
      <w:r>
        <w:rPr>
          <w:rFonts w:hint="default" w:ascii="Times New Roman" w:hAnsi="Times New Roman" w:eastAsia="仿宋_GB2312" w:cs="Times New Roman"/>
          <w:color w:val="000000" w:themeColor="text1"/>
          <w:sz w:val="24"/>
          <w14:textFill>
            <w14:solidFill>
              <w14:schemeClr w14:val="tx1"/>
            </w14:solidFill>
          </w14:textFill>
        </w:rPr>
        <w:t>年</w:t>
      </w:r>
      <w:r>
        <w:rPr>
          <w:rFonts w:hint="default" w:eastAsia="仿宋_GB2312" w:cs="Times New Roman"/>
          <w:color w:val="000000" w:themeColor="text1"/>
          <w:sz w:val="24"/>
          <w:lang w:val="en-US"/>
          <w14:textFill>
            <w14:solidFill>
              <w14:schemeClr w14:val="tx1"/>
            </w14:solidFill>
          </w14:textFill>
        </w:rPr>
        <w:t>9</w:t>
      </w:r>
      <w:r>
        <w:rPr>
          <w:rFonts w:hint="default" w:ascii="Times New Roman" w:hAnsi="Times New Roman" w:eastAsia="仿宋_GB2312" w:cs="Times New Roman"/>
          <w:color w:val="000000" w:themeColor="text1"/>
          <w:sz w:val="24"/>
          <w14:textFill>
            <w14:solidFill>
              <w14:schemeClr w14:val="tx1"/>
            </w14:solidFill>
          </w14:textFill>
        </w:rPr>
        <w:t>月）</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_GB2312" w:eastAsia="仿宋_GB2312"/>
          <w:color w:val="000000" w:themeColor="text1"/>
          <w:sz w:val="24"/>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0"/>
        <w:jc w:val="left"/>
        <w:textAlignment w:val="auto"/>
        <w:rPr>
          <w:rFonts w:hint="eastAsia" w:eastAsia="仿宋_GB2312" w:cs="Times New Roman"/>
          <w:color w:val="000000" w:themeColor="text1"/>
          <w:sz w:val="24"/>
          <w:lang w:val="en-US" w:eastAsia="zh-CN"/>
          <w14:textFill>
            <w14:solidFill>
              <w14:schemeClr w14:val="tx1"/>
            </w14:solidFill>
          </w14:textFill>
        </w:rPr>
      </w:pPr>
      <w:r>
        <w:rPr>
          <w:rFonts w:hint="eastAsia" w:eastAsia="仿宋_GB2312" w:cs="Times New Roman"/>
          <w:color w:val="000000" w:themeColor="text1"/>
          <w:sz w:val="24"/>
          <w:lang w:val="en-US" w:eastAsia="zh-CN"/>
          <w14:textFill>
            <w14:solidFill>
              <w14:schemeClr w14:val="tx1"/>
            </w14:solidFill>
          </w14:textFill>
        </w:rPr>
        <w:t>1.第七师奎屯市～胡杨河市公路水土保持方案审批准予行政许可决定书</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0"/>
        <w:jc w:val="left"/>
        <w:textAlignment w:val="auto"/>
        <w:rPr>
          <w:rFonts w:hint="default" w:ascii="Times New Roman" w:hAnsi="Times New Roman" w:eastAsia="仿宋_GB2312" w:cs="Times New Roman"/>
          <w:color w:val="000000" w:themeColor="text1"/>
          <w:sz w:val="24"/>
          <w:lang w:val="en-US" w:eastAsia="zh-CN"/>
          <w14:textFill>
            <w14:solidFill>
              <w14:schemeClr w14:val="tx1"/>
            </w14:solidFill>
          </w14:textFill>
        </w:rPr>
      </w:pPr>
      <w:r>
        <w:rPr>
          <w:rFonts w:hint="default" w:eastAsia="仿宋_GB2312" w:cs="Times New Roman"/>
          <w:color w:val="000000" w:themeColor="text1"/>
          <w:sz w:val="24"/>
          <w:lang w:val="en-US" w:eastAsia="zh-CN"/>
          <w14:textFill>
            <w14:solidFill>
              <w14:schemeClr w14:val="tx1"/>
            </w14:solidFill>
          </w14:textFill>
        </w:rPr>
        <w:t>2.</w:t>
      </w:r>
      <w:r>
        <w:rPr>
          <w:rFonts w:hint="eastAsia" w:eastAsia="仿宋_GB2312" w:cs="Times New Roman"/>
          <w:color w:val="000000" w:themeColor="text1"/>
          <w:sz w:val="24"/>
          <w:lang w:val="en-US" w:eastAsia="zh-CN"/>
          <w14:textFill>
            <w14:solidFill>
              <w14:schemeClr w14:val="tx1"/>
            </w14:solidFill>
          </w14:textFill>
        </w:rPr>
        <w:t>新疆理工职业大学（筹）三期建设项目水土保持方案审批准予行政许可决定书</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0"/>
        <w:jc w:val="left"/>
        <w:textAlignment w:val="auto"/>
        <w:rPr>
          <w:rFonts w:hint="eastAsia" w:eastAsia="仿宋_GB2312" w:cs="Times New Roman"/>
          <w:color w:val="000000" w:themeColor="text1"/>
          <w:sz w:val="24"/>
          <w:lang w:val="en-US" w:eastAsia="zh-CN"/>
          <w14:textFill>
            <w14:solidFill>
              <w14:schemeClr w14:val="tx1"/>
            </w14:solidFill>
          </w14:textFill>
        </w:rPr>
      </w:pPr>
    </w:p>
    <w:p>
      <w:pPr>
        <w:pStyle w:val="2"/>
        <w:ind w:firstLine="480" w:firstLineChars="200"/>
        <w:rPr>
          <w:rFonts w:ascii="仿宋_GB2312" w:eastAsia="仿宋_GB2312"/>
          <w:color w:val="000000" w:themeColor="text1"/>
          <w:sz w:val="24"/>
          <w14:textFill>
            <w14:solidFill>
              <w14:schemeClr w14:val="tx1"/>
            </w14:solidFill>
          </w14:textFill>
        </w:rPr>
        <w:sectPr>
          <w:pgSz w:w="11906" w:h="16838"/>
          <w:pgMar w:top="2041" w:right="1531" w:bottom="2041" w:left="1531" w:header="851" w:footer="992" w:gutter="0"/>
          <w:cols w:space="425" w:num="1"/>
          <w:docGrid w:type="lines" w:linePitch="318" w:charSpace="0"/>
        </w:sectPr>
      </w:pPr>
    </w:p>
    <w:p>
      <w:pPr>
        <w:spacing w:line="560" w:lineRule="exact"/>
        <w:jc w:val="center"/>
        <w:rPr>
          <w:rFonts w:hint="eastAsia" w:ascii="Times New Roman" w:hAnsi="Times New Roman" w:eastAsia="方正小标宋简体"/>
          <w:color w:val="auto"/>
          <w:sz w:val="44"/>
          <w:szCs w:val="44"/>
          <w:highlight w:val="none"/>
        </w:rPr>
      </w:pPr>
      <w:r>
        <w:rPr>
          <w:rFonts w:hint="eastAsia" w:ascii="Times New Roman" w:hAnsi="Times New Roman" w:eastAsia="方正小标宋简体"/>
          <w:color w:val="auto"/>
          <w:sz w:val="44"/>
          <w:szCs w:val="44"/>
          <w:highlight w:val="none"/>
        </w:rPr>
        <w:t>第七师奎屯市～胡杨河市公路</w:t>
      </w:r>
    </w:p>
    <w:p>
      <w:pPr>
        <w:spacing w:line="560" w:lineRule="exact"/>
        <w:jc w:val="center"/>
        <w:rPr>
          <w:rFonts w:ascii="Times New Roman" w:hAnsi="Times New Roman" w:eastAsia="方正小标宋简体"/>
          <w:color w:val="auto"/>
          <w:sz w:val="44"/>
          <w:szCs w:val="44"/>
          <w:highlight w:val="none"/>
        </w:rPr>
      </w:pPr>
      <w:r>
        <w:rPr>
          <w:rFonts w:ascii="Times New Roman" w:hAnsi="Times New Roman" w:eastAsia="方正小标宋简体"/>
          <w:color w:val="auto"/>
          <w:sz w:val="44"/>
          <w:szCs w:val="44"/>
          <w:highlight w:val="none"/>
        </w:rPr>
        <w:t>水土保持方案审批准予行政许可决定书</w:t>
      </w:r>
    </w:p>
    <w:p>
      <w:pPr>
        <w:pStyle w:val="2"/>
        <w:spacing w:line="560" w:lineRule="exact"/>
        <w:rPr>
          <w:rFonts w:ascii="Times New Roman" w:hAnsi="Times New Roman" w:eastAsia="方正小标宋_GBK"/>
          <w:color w:val="auto"/>
          <w:sz w:val="44"/>
          <w:szCs w:val="44"/>
          <w:highlight w:val="none"/>
        </w:rPr>
      </w:pPr>
    </w:p>
    <w:p>
      <w:pPr>
        <w:pStyle w:val="2"/>
        <w:adjustRightInd w:val="0"/>
        <w:snapToGrid w:val="0"/>
        <w:spacing w:line="620" w:lineRule="exact"/>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新疆生产建设兵团第七师交通运输事业发展中心</w:t>
      </w:r>
      <w:r>
        <w:rPr>
          <w:rFonts w:ascii="Times New Roman" w:hAnsi="Times New Roman" w:eastAsia="仿宋_GB2312"/>
          <w:color w:val="auto"/>
          <w:sz w:val="32"/>
          <w:szCs w:val="32"/>
          <w:highlight w:val="none"/>
        </w:rPr>
        <w:t>：</w:t>
      </w:r>
    </w:p>
    <w:p>
      <w:pPr>
        <w:adjustRightInd w:val="0"/>
        <w:snapToGrid w:val="0"/>
        <w:spacing w:line="62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你单位《</w:t>
      </w:r>
      <w:r>
        <w:rPr>
          <w:rFonts w:hint="eastAsia" w:ascii="Times New Roman" w:hAnsi="Times New Roman" w:eastAsia="仿宋_GB2312"/>
          <w:color w:val="auto"/>
          <w:sz w:val="32"/>
          <w:szCs w:val="32"/>
          <w:highlight w:val="none"/>
        </w:rPr>
        <w:t>关于申请审批第七师奎屯市一胡杨河市公路建设项目水土保持方案报告书的请示</w:t>
      </w:r>
      <w:r>
        <w:rPr>
          <w:rFonts w:ascii="Times New Roman" w:hAnsi="Times New Roman" w:eastAsia="仿宋_GB2312"/>
          <w:color w:val="auto"/>
          <w:sz w:val="32"/>
          <w:szCs w:val="32"/>
          <w:highlight w:val="none"/>
        </w:rPr>
        <w:t>》收悉。我局组织有关专家对该项目水土保持方案报告书进行了技术评审，提出了评审意见（详见附件）。经审查，决定准予行政许可。</w:t>
      </w:r>
    </w:p>
    <w:p>
      <w:pPr>
        <w:adjustRightInd w:val="0"/>
        <w:snapToGrid w:val="0"/>
        <w:spacing w:line="620" w:lineRule="exact"/>
        <w:ind w:firstLine="640" w:firstLineChars="200"/>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一、水土保持方案总体意见</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（一）基本同意水土流失防治责任范围为</w:t>
      </w:r>
      <w:r>
        <w:rPr>
          <w:rFonts w:hint="eastAsia" w:ascii="Times New Roman" w:hAnsi="Times New Roman" w:eastAsia="仿宋_GB2312"/>
          <w:color w:val="auto"/>
          <w:sz w:val="32"/>
          <w:szCs w:val="32"/>
          <w:highlight w:val="none"/>
        </w:rPr>
        <w:t>116.88</w:t>
      </w:r>
      <w:r>
        <w:rPr>
          <w:rFonts w:ascii="Times New Roman" w:hAnsi="Times New Roman" w:eastAsia="仿宋_GB2312"/>
          <w:color w:val="auto"/>
          <w:sz w:val="32"/>
          <w:szCs w:val="32"/>
          <w:highlight w:val="none"/>
        </w:rPr>
        <w:t>公顷。</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（二）同意水土流失防治执行北方风沙区一级标准。</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（三）基本同意设计水平年水土流失综合防治目标为：水土流失治理度</w:t>
      </w:r>
      <w:r>
        <w:rPr>
          <w:rFonts w:hint="eastAsia" w:ascii="Times New Roman" w:hAnsi="Times New Roman" w:eastAsia="仿宋_GB2312"/>
          <w:color w:val="auto"/>
          <w:sz w:val="32"/>
          <w:szCs w:val="32"/>
          <w:highlight w:val="none"/>
        </w:rPr>
        <w:t>80</w:t>
      </w:r>
      <w:r>
        <w:rPr>
          <w:rFonts w:ascii="Times New Roman" w:hAnsi="Times New Roman" w:eastAsia="仿宋_GB2312"/>
          <w:color w:val="auto"/>
          <w:sz w:val="32"/>
          <w:szCs w:val="32"/>
          <w:highlight w:val="none"/>
        </w:rPr>
        <w:t>%，土壤流失控制比</w:t>
      </w:r>
      <w:r>
        <w:rPr>
          <w:rFonts w:hint="eastAsia" w:ascii="Times New Roman" w:hAnsi="Times New Roman" w:eastAsia="仿宋_GB2312"/>
          <w:color w:val="auto"/>
          <w:sz w:val="32"/>
          <w:szCs w:val="32"/>
          <w:highlight w:val="none"/>
        </w:rPr>
        <w:t>1.0</w:t>
      </w:r>
      <w:r>
        <w:rPr>
          <w:rFonts w:ascii="Times New Roman" w:hAnsi="Times New Roman" w:eastAsia="仿宋_GB2312"/>
          <w:color w:val="auto"/>
          <w:sz w:val="32"/>
          <w:szCs w:val="32"/>
          <w:highlight w:val="none"/>
        </w:rPr>
        <w:t>，渣土防护率</w:t>
      </w:r>
      <w:r>
        <w:rPr>
          <w:rFonts w:hint="eastAsia" w:ascii="Times New Roman" w:hAnsi="Times New Roman" w:eastAsia="仿宋_GB2312"/>
          <w:color w:val="auto"/>
          <w:sz w:val="32"/>
          <w:szCs w:val="32"/>
          <w:highlight w:val="none"/>
        </w:rPr>
        <w:t>87</w:t>
      </w:r>
      <w:r>
        <w:rPr>
          <w:rFonts w:ascii="Times New Roman" w:hAnsi="Times New Roman" w:eastAsia="仿宋_GB2312"/>
          <w:color w:val="auto"/>
          <w:sz w:val="32"/>
          <w:szCs w:val="32"/>
          <w:highlight w:val="none"/>
        </w:rPr>
        <w:t>%，表土保护率</w:t>
      </w:r>
      <w:r>
        <w:rPr>
          <w:rFonts w:hint="default" w:ascii="Times New Roman" w:hAnsi="Times New Roman" w:eastAsia="仿宋_GB2312"/>
          <w:color w:val="auto"/>
          <w:sz w:val="32"/>
          <w:szCs w:val="32"/>
          <w:highlight w:val="none"/>
          <w:lang w:val="en-US"/>
        </w:rPr>
        <w:t>90%</w:t>
      </w:r>
      <w:r>
        <w:rPr>
          <w:rFonts w:hint="eastAsia" w:ascii="Times New Roman" w:hAnsi="Times New Roman" w:eastAsia="仿宋_GB2312"/>
          <w:color w:val="auto"/>
          <w:sz w:val="32"/>
          <w:szCs w:val="32"/>
          <w:highlight w:val="none"/>
          <w:lang w:val="en-US" w:eastAsia="zh-CN"/>
        </w:rPr>
        <w:t>，</w:t>
      </w:r>
      <w:r>
        <w:rPr>
          <w:rFonts w:ascii="Times New Roman" w:hAnsi="Times New Roman" w:eastAsia="仿宋_GB2312"/>
          <w:color w:val="auto"/>
          <w:sz w:val="32"/>
          <w:szCs w:val="32"/>
          <w:highlight w:val="none"/>
        </w:rPr>
        <w:t>林草植被恢复率</w:t>
      </w:r>
      <w:r>
        <w:rPr>
          <w:rFonts w:hint="default" w:ascii="Times New Roman" w:hAnsi="Times New Roman" w:eastAsia="仿宋_GB2312"/>
          <w:color w:val="auto"/>
          <w:sz w:val="32"/>
          <w:szCs w:val="32"/>
          <w:highlight w:val="none"/>
          <w:lang w:val="en-US"/>
        </w:rPr>
        <w:t>88%</w:t>
      </w:r>
      <w:r>
        <w:rPr>
          <w:rFonts w:hint="eastAsia" w:ascii="Times New Roman" w:hAnsi="Times New Roman" w:eastAsia="仿宋_GB2312"/>
          <w:color w:val="auto"/>
          <w:sz w:val="32"/>
          <w:szCs w:val="32"/>
          <w:highlight w:val="none"/>
          <w:lang w:val="en-US" w:eastAsia="zh-CN"/>
        </w:rPr>
        <w:t>，</w:t>
      </w:r>
      <w:r>
        <w:rPr>
          <w:rFonts w:ascii="Times New Roman" w:hAnsi="Times New Roman" w:eastAsia="仿宋_GB2312"/>
          <w:color w:val="auto"/>
          <w:sz w:val="32"/>
          <w:szCs w:val="32"/>
          <w:highlight w:val="none"/>
        </w:rPr>
        <w:t>林草覆盖率</w:t>
      </w:r>
      <w:r>
        <w:rPr>
          <w:rFonts w:hint="default" w:ascii="Times New Roman" w:hAnsi="Times New Roman" w:eastAsia="仿宋_GB2312"/>
          <w:color w:val="auto"/>
          <w:sz w:val="32"/>
          <w:szCs w:val="32"/>
          <w:highlight w:val="none"/>
          <w:lang w:val="en-US"/>
        </w:rPr>
        <w:t>11%</w:t>
      </w:r>
      <w:r>
        <w:rPr>
          <w:rFonts w:ascii="Times New Roman" w:hAnsi="Times New Roman" w:eastAsia="仿宋_GB2312"/>
          <w:color w:val="auto"/>
          <w:sz w:val="32"/>
          <w:szCs w:val="32"/>
          <w:highlight w:val="none"/>
        </w:rPr>
        <w:t>。</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（四）基本同意水土流失防治分区及其防治措施。</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（五）基本同意</w:t>
      </w:r>
      <w:r>
        <w:rPr>
          <w:rFonts w:hint="eastAsia" w:ascii="Times New Roman" w:hAnsi="Times New Roman" w:eastAsia="仿宋_GB2312"/>
          <w:color w:val="auto"/>
          <w:sz w:val="32"/>
          <w:szCs w:val="32"/>
          <w:highlight w:val="none"/>
        </w:rPr>
        <w:t>建设期估算</w:t>
      </w:r>
      <w:r>
        <w:rPr>
          <w:rFonts w:ascii="Times New Roman" w:hAnsi="Times New Roman" w:eastAsia="仿宋_GB2312"/>
          <w:color w:val="auto"/>
          <w:sz w:val="32"/>
          <w:szCs w:val="32"/>
          <w:highlight w:val="none"/>
        </w:rPr>
        <w:t>水土保持补偿费为</w:t>
      </w:r>
      <w:r>
        <w:rPr>
          <w:rFonts w:hint="eastAsia" w:ascii="Times New Roman" w:hAnsi="Times New Roman" w:eastAsia="仿宋_GB2312"/>
          <w:color w:val="auto"/>
          <w:sz w:val="32"/>
          <w:szCs w:val="32"/>
          <w:highlight w:val="none"/>
        </w:rPr>
        <w:t>116.88</w:t>
      </w:r>
      <w:r>
        <w:rPr>
          <w:rFonts w:ascii="Times New Roman" w:hAnsi="Times New Roman" w:eastAsia="仿宋_GB2312"/>
          <w:color w:val="auto"/>
          <w:sz w:val="32"/>
          <w:szCs w:val="32"/>
          <w:highlight w:val="none"/>
        </w:rPr>
        <w:t>万元。</w:t>
      </w:r>
      <w:r>
        <w:rPr>
          <w:rFonts w:hint="eastAsia" w:ascii="Times New Roman" w:hAnsi="Times New Roman" w:eastAsia="仿宋_GB2312"/>
          <w:color w:val="auto"/>
          <w:sz w:val="32"/>
          <w:szCs w:val="32"/>
          <w:highlight w:val="none"/>
        </w:rPr>
        <w:t>水土保持补偿费实际征收额由征收部门审核确定。</w:t>
      </w:r>
    </w:p>
    <w:p>
      <w:pPr>
        <w:adjustRightInd w:val="0"/>
        <w:snapToGrid w:val="0"/>
        <w:spacing w:line="620" w:lineRule="exact"/>
        <w:ind w:firstLine="640" w:firstLineChars="200"/>
        <w:outlineLvl w:val="0"/>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二、生产建设单位在项目建设中应全面落实《中华人民共和国水土保持法》的相关要求，并重点做好以下工作</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一）按照批复的水土保持方案落实资金、监测、监理、管理等保证措施，做好水土保持初步设计、施工图设计、施工组织设计，加强对施工单位的监督和管理，明确水土流失防治责任，切实落实水土保持“三同时”制度。</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二）严格按照批复的水土保持方案要求落实各项水土保持措施。各类施工活动要严格限定在用地范围内，严禁随意占压、扰动、破坏地表和植被；建设过程中产生的临时堆土要及时运至回填利用区域并进行防护，禁止随意倾倒；做好弃渣综合利用，建设过程中产生的弃渣要及时运至方案确定的专门场地。根据方案要求合理安排施工时序和水土保持措施实施进度，严格控制施工期间可能造成的水土流失。</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（三）切实做好水土保持监测工作，加强建设期水土流失动态监控，并按规定向兵团水利局</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第</w:t>
      </w:r>
      <w:r>
        <w:rPr>
          <w:rFonts w:hint="eastAsia" w:ascii="Times New Roman" w:hAnsi="Times New Roman" w:eastAsia="仿宋_GB2312"/>
          <w:color w:val="auto"/>
          <w:sz w:val="32"/>
          <w:szCs w:val="32"/>
          <w:highlight w:val="none"/>
          <w:lang w:val="en-US" w:eastAsia="zh-CN"/>
        </w:rPr>
        <w:t>七</w:t>
      </w:r>
      <w:r>
        <w:rPr>
          <w:rFonts w:ascii="Times New Roman" w:hAnsi="Times New Roman" w:eastAsia="仿宋_GB2312"/>
          <w:color w:val="auto"/>
          <w:sz w:val="32"/>
          <w:szCs w:val="32"/>
          <w:highlight w:val="none"/>
        </w:rPr>
        <w:t>师</w:t>
      </w:r>
      <w:r>
        <w:rPr>
          <w:rFonts w:hint="eastAsia" w:ascii="Times New Roman" w:hAnsi="Times New Roman" w:eastAsia="仿宋_GB2312"/>
          <w:color w:val="auto"/>
          <w:sz w:val="32"/>
          <w:szCs w:val="32"/>
          <w:highlight w:val="none"/>
          <w:lang w:val="en-US" w:eastAsia="zh-CN"/>
        </w:rPr>
        <w:t>胡杨河市</w:t>
      </w:r>
      <w:r>
        <w:rPr>
          <w:rFonts w:ascii="Times New Roman" w:hAnsi="Times New Roman" w:eastAsia="仿宋_GB2312"/>
          <w:color w:val="auto"/>
          <w:sz w:val="32"/>
          <w:szCs w:val="32"/>
          <w:highlight w:val="none"/>
        </w:rPr>
        <w:t>水利局提交水土保持监测季度报告及总结报告。</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（四）落实并做好水土保持监理工作，确保水土保持工程建设质量和进度。</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（五）依法依规足额缴纳水土保持补偿费。</w:t>
      </w:r>
    </w:p>
    <w:p>
      <w:pPr>
        <w:adjustRightInd w:val="0"/>
        <w:snapToGrid w:val="0"/>
        <w:spacing w:line="620" w:lineRule="exact"/>
        <w:ind w:firstLine="640" w:firstLineChars="200"/>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三、水土保持方案变更有关要求</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（一）本项目的建设地点、规模如发生重大变化，或者水土保持方案实施过程中水土保持措施发生重大变更，建设单位应及时补充或者修改水土保持方案，报我局审批。</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（二）在水土保持方案确定的弃渣场以外新设弃渣场的，或者因弃渣量增加导致等级提高的</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应当开展弃渣减量化、资源化论证，并在弃渣前编制水土保持方案补充报告，报我局审批。</w:t>
      </w:r>
    </w:p>
    <w:p>
      <w:pPr>
        <w:adjustRightInd w:val="0"/>
        <w:snapToGrid w:val="0"/>
        <w:spacing w:line="620" w:lineRule="exact"/>
        <w:ind w:firstLine="640" w:firstLineChars="200"/>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四、其他</w:t>
      </w:r>
    </w:p>
    <w:p>
      <w:pPr>
        <w:adjustRightInd w:val="0"/>
        <w:snapToGrid w:val="0"/>
        <w:spacing w:line="62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一）本项目在竣工验收或投产使用前应通过水土保持设施自主验收；生产建设单位应当在水土保持设施自主验收通过后3个月内，向我局报备水土保持设施验收材料。水土保持设施未经验收或者验收不合格的，生产建设项目不得投产使用。</w:t>
      </w:r>
    </w:p>
    <w:p>
      <w:pPr>
        <w:adjustRightInd w:val="0"/>
        <w:snapToGrid w:val="0"/>
        <w:spacing w:line="62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（二）本项目存在违反《中华人民共和国水土保持法》第二十六条的规定，水土保持方案未经批准而开工建设的行为。生产建设单位要深刻吸取教训，严格执行水土保持法律法规，杜绝此类行为再次发生。</w:t>
      </w:r>
    </w:p>
    <w:p>
      <w:pPr>
        <w:adjustRightInd w:val="0"/>
        <w:snapToGrid w:val="0"/>
        <w:spacing w:line="620" w:lineRule="exact"/>
        <w:ind w:firstLine="640" w:firstLineChars="200"/>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（三）</w:t>
      </w:r>
      <w:r>
        <w:rPr>
          <w:rFonts w:ascii="Times New Roman" w:hAnsi="Times New Roman" w:eastAsia="仿宋_GB2312"/>
          <w:color w:val="auto"/>
          <w:sz w:val="32"/>
          <w:szCs w:val="32"/>
          <w:highlight w:val="none"/>
        </w:rPr>
        <w:t>本</w:t>
      </w:r>
      <w:r>
        <w:rPr>
          <w:rFonts w:hint="eastAsia" w:ascii="Times New Roman" w:hAnsi="Times New Roman" w:eastAsia="仿宋_GB2312"/>
          <w:color w:val="auto"/>
          <w:sz w:val="32"/>
          <w:szCs w:val="32"/>
          <w:highlight w:val="none"/>
        </w:rPr>
        <w:t>许可文件自批准之日起有效期限3年</w:t>
      </w:r>
      <w:r>
        <w:rPr>
          <w:rFonts w:ascii="Times New Roman" w:hAnsi="Times New Roman" w:eastAsia="仿宋_GB2312"/>
          <w:color w:val="auto"/>
          <w:sz w:val="32"/>
          <w:szCs w:val="32"/>
          <w:highlight w:val="none"/>
        </w:rPr>
        <w:t>。</w:t>
      </w:r>
      <w:r>
        <w:rPr>
          <w:rFonts w:hint="eastAsia" w:ascii="Times New Roman" w:hAnsi="Times New Roman" w:eastAsia="仿宋_GB2312"/>
          <w:color w:val="auto"/>
          <w:sz w:val="32"/>
          <w:szCs w:val="32"/>
          <w:highlight w:val="none"/>
        </w:rPr>
        <w:t>在许可文件有效期内未开工建设的，生产建设单位应在许可文件有效期满的30个工作日之前向我局申请重新审核。项目在许可文件有效期内未开工建设的，或虽提出重新审核申请但未批准的，本许可文件自动失效。</w:t>
      </w:r>
    </w:p>
    <w:p>
      <w:pPr>
        <w:rPr>
          <w:rFonts w:hint="eastAsia"/>
        </w:rPr>
      </w:pPr>
      <w:r>
        <w:rPr>
          <w:rFonts w:hint="eastAsia"/>
        </w:rPr>
        <w:br w:type="page"/>
      </w:r>
    </w:p>
    <w:p>
      <w:pPr>
        <w:spacing w:line="560" w:lineRule="exact"/>
        <w:jc w:val="center"/>
        <w:rPr>
          <w:rFonts w:hint="eastAsia" w:ascii="Times New Roman" w:hAnsi="Times New Roman" w:eastAsia="方正小标宋简体"/>
          <w:color w:val="auto"/>
          <w:sz w:val="44"/>
          <w:szCs w:val="44"/>
          <w:highlight w:val="none"/>
          <w:lang w:eastAsia="zh-CN"/>
        </w:rPr>
      </w:pPr>
      <w:r>
        <w:rPr>
          <w:rFonts w:hint="eastAsia" w:ascii="Times New Roman" w:hAnsi="Times New Roman" w:eastAsia="方正小标宋简体"/>
          <w:color w:val="auto"/>
          <w:sz w:val="44"/>
          <w:szCs w:val="44"/>
          <w:highlight w:val="none"/>
          <w:lang w:eastAsia="zh-CN"/>
        </w:rPr>
        <w:t>新疆理工职业大学（筹）三期建设项目</w:t>
      </w:r>
    </w:p>
    <w:p>
      <w:pPr>
        <w:spacing w:line="560" w:lineRule="exact"/>
        <w:jc w:val="center"/>
        <w:rPr>
          <w:rFonts w:ascii="Times New Roman" w:hAnsi="Times New Roman" w:eastAsia="方正小标宋简体"/>
          <w:color w:val="auto"/>
          <w:sz w:val="44"/>
          <w:szCs w:val="44"/>
          <w:highlight w:val="none"/>
        </w:rPr>
      </w:pPr>
      <w:r>
        <w:rPr>
          <w:rFonts w:ascii="Times New Roman" w:hAnsi="Times New Roman" w:eastAsia="方正小标宋简体"/>
          <w:color w:val="auto"/>
          <w:sz w:val="44"/>
          <w:szCs w:val="44"/>
          <w:highlight w:val="none"/>
        </w:rPr>
        <w:t>水土保持方案审批准予行政许可</w:t>
      </w:r>
    </w:p>
    <w:p>
      <w:pPr>
        <w:spacing w:line="560" w:lineRule="exact"/>
        <w:jc w:val="center"/>
        <w:rPr>
          <w:rFonts w:ascii="Times New Roman" w:hAnsi="Times New Roman" w:eastAsia="方正小标宋简体"/>
          <w:color w:val="auto"/>
          <w:sz w:val="44"/>
          <w:szCs w:val="44"/>
          <w:highlight w:val="none"/>
        </w:rPr>
      </w:pPr>
      <w:r>
        <w:rPr>
          <w:rFonts w:ascii="Times New Roman" w:hAnsi="Times New Roman" w:eastAsia="方正小标宋简体"/>
          <w:color w:val="auto"/>
          <w:sz w:val="44"/>
          <w:szCs w:val="44"/>
          <w:highlight w:val="none"/>
        </w:rPr>
        <w:t>决定书</w:t>
      </w:r>
    </w:p>
    <w:p>
      <w:pPr>
        <w:pStyle w:val="2"/>
        <w:spacing w:line="560" w:lineRule="exact"/>
        <w:rPr>
          <w:rFonts w:ascii="Times New Roman" w:hAnsi="Times New Roman" w:eastAsia="方正小标宋_GBK"/>
          <w:color w:val="auto"/>
          <w:sz w:val="44"/>
          <w:szCs w:val="44"/>
          <w:highlight w:val="none"/>
        </w:rPr>
      </w:pPr>
    </w:p>
    <w:p>
      <w:pPr>
        <w:pStyle w:val="2"/>
        <w:adjustRightInd w:val="0"/>
        <w:snapToGrid w:val="0"/>
        <w:spacing w:line="620" w:lineRule="exact"/>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新疆理工职业大学</w:t>
      </w:r>
      <w:r>
        <w:rPr>
          <w:rFonts w:ascii="Times New Roman" w:hAnsi="Times New Roman" w:eastAsia="仿宋_GB2312"/>
          <w:color w:val="auto"/>
          <w:sz w:val="32"/>
          <w:szCs w:val="32"/>
          <w:highlight w:val="none"/>
        </w:rPr>
        <w:t>：</w:t>
      </w:r>
    </w:p>
    <w:p>
      <w:pPr>
        <w:adjustRightInd w:val="0"/>
        <w:snapToGrid w:val="0"/>
        <w:spacing w:line="62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你单位《</w:t>
      </w:r>
      <w:r>
        <w:rPr>
          <w:rFonts w:hint="eastAsia" w:ascii="Times New Roman" w:hAnsi="Times New Roman" w:eastAsia="仿宋_GB2312"/>
          <w:color w:val="auto"/>
          <w:sz w:val="32"/>
          <w:szCs w:val="32"/>
          <w:highlight w:val="none"/>
        </w:rPr>
        <w:t>关于申请审批新疆理工职业大学（筹）三期建设项目水土保持方案报告书的函</w:t>
      </w:r>
      <w:r>
        <w:rPr>
          <w:rFonts w:ascii="Times New Roman" w:hAnsi="Times New Roman" w:eastAsia="仿宋_GB2312"/>
          <w:color w:val="auto"/>
          <w:sz w:val="32"/>
          <w:szCs w:val="32"/>
          <w:highlight w:val="none"/>
        </w:rPr>
        <w:t>》收悉。我局组织有关专家对该项目水土保持方案报告书进行了技术评审，提出了评审意见（详见附件）。经审查，决定准予行政许可。</w:t>
      </w:r>
    </w:p>
    <w:p>
      <w:pPr>
        <w:adjustRightInd w:val="0"/>
        <w:snapToGrid w:val="0"/>
        <w:spacing w:line="620" w:lineRule="exact"/>
        <w:ind w:firstLine="640" w:firstLineChars="200"/>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一、水土保持方案总体意见</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（一）基本同意水土流失防治责任范围为</w:t>
      </w:r>
      <w:r>
        <w:rPr>
          <w:rFonts w:hint="eastAsia" w:ascii="Times New Roman" w:hAnsi="Times New Roman" w:eastAsia="仿宋_GB2312"/>
          <w:color w:val="auto"/>
          <w:sz w:val="32"/>
          <w:szCs w:val="32"/>
          <w:highlight w:val="none"/>
        </w:rPr>
        <w:t>38.94</w:t>
      </w:r>
      <w:r>
        <w:rPr>
          <w:rFonts w:ascii="Times New Roman" w:hAnsi="Times New Roman" w:eastAsia="仿宋_GB2312"/>
          <w:color w:val="auto"/>
          <w:sz w:val="32"/>
          <w:szCs w:val="32"/>
          <w:highlight w:val="none"/>
        </w:rPr>
        <w:t>公顷。</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（二）同意水土流失防治执行北方风沙区一级标准。</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（三）基本同意设计水平年水土流失综合防治目标为：</w:t>
      </w:r>
      <w:r>
        <w:rPr>
          <w:rFonts w:hint="eastAsia" w:ascii="Times New Roman" w:hAnsi="Times New Roman" w:eastAsia="仿宋_GB2312"/>
          <w:color w:val="auto"/>
          <w:sz w:val="32"/>
          <w:szCs w:val="32"/>
          <w:highlight w:val="none"/>
        </w:rPr>
        <w:t>水土流失治理度85%，土壤流失控制比1.0，渣土防护率89%，表土保护率90%，林草植被恢复率93%，林草覆盖率20%</w:t>
      </w:r>
      <w:r>
        <w:rPr>
          <w:rFonts w:ascii="Times New Roman" w:hAnsi="Times New Roman" w:eastAsia="仿宋_GB2312"/>
          <w:color w:val="auto"/>
          <w:sz w:val="32"/>
          <w:szCs w:val="32"/>
          <w:highlight w:val="none"/>
        </w:rPr>
        <w:t>。</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（四）基本同意水土流失防治分区及其防治措施。</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（五）</w:t>
      </w:r>
      <w:r>
        <w:rPr>
          <w:rFonts w:hint="eastAsia" w:ascii="Times New Roman" w:hAnsi="Times New Roman" w:eastAsia="仿宋_GB2312"/>
          <w:color w:val="auto"/>
          <w:sz w:val="32"/>
          <w:szCs w:val="32"/>
        </w:rPr>
        <w:t>基本同意免征水土保持补偿费</w:t>
      </w:r>
      <w:r>
        <w:rPr>
          <w:rFonts w:hint="eastAsia" w:ascii="Times New Roman" w:hAnsi="Times New Roman" w:eastAsia="仿宋_GB2312"/>
          <w:color w:val="auto"/>
          <w:sz w:val="32"/>
          <w:szCs w:val="32"/>
          <w:highlight w:val="none"/>
        </w:rPr>
        <w:t>。</w:t>
      </w:r>
    </w:p>
    <w:p>
      <w:pPr>
        <w:adjustRightInd w:val="0"/>
        <w:snapToGrid w:val="0"/>
        <w:spacing w:line="620" w:lineRule="exact"/>
        <w:ind w:firstLine="640" w:firstLineChars="200"/>
        <w:outlineLvl w:val="0"/>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二、生产建设单位在项目建设中应全面落实《中华人民共和国水土保持法》的相关要求，并重点做好以下工作</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一）按照批复的水土保持方案落实资金、监测、监理、管理等保证措施，做好水土保持初步设计、施工图设计、施工组织设计，加强对施工单位的监督和管理，明确水土流失防治责任，切实落实水土保持“三同时”制度。</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二）严格按照批复的水土保持方案要求落实各项水土保持措施。各类施工活动要严格限定在用地范围内，严禁随意占压、扰动、破坏地表和植被；建设过程中产生的临时堆土要及时运至回填利用区域并进行防护，禁止随意倾倒</w:t>
      </w:r>
      <w:r>
        <w:rPr>
          <w:rFonts w:hint="eastAsia" w:ascii="Times New Roman" w:hAnsi="Times New Roman" w:eastAsia="仿宋_GB2312"/>
          <w:color w:val="auto"/>
          <w:sz w:val="32"/>
          <w:szCs w:val="32"/>
          <w:highlight w:val="none"/>
          <w:lang w:eastAsia="zh-CN"/>
        </w:rPr>
        <w:t>；</w:t>
      </w:r>
      <w:r>
        <w:rPr>
          <w:rFonts w:ascii="Times New Roman" w:hAnsi="Times New Roman" w:eastAsia="仿宋_GB2312"/>
          <w:color w:val="auto"/>
          <w:sz w:val="32"/>
          <w:szCs w:val="32"/>
          <w:highlight w:val="none"/>
        </w:rPr>
        <w:t>根据方案要求合理安排施工时序和水土保持措施实施进度，严格控制施工期间可能造成的水土流失。</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（三）切实做好水土保持监测工作，加强建设期水土流失动态监控，并按规定向兵团水利局</w:t>
      </w:r>
      <w:r>
        <w:rPr>
          <w:rFonts w:hint="eastAsia" w:ascii="Times New Roman" w:hAnsi="Times New Roman" w:eastAsia="仿宋_GB2312"/>
          <w:color w:val="auto"/>
          <w:sz w:val="32"/>
          <w:szCs w:val="32"/>
          <w:highlight w:val="none"/>
        </w:rPr>
        <w:t>、</w:t>
      </w:r>
      <w:r>
        <w:rPr>
          <w:rFonts w:hint="eastAsia" w:ascii="Times New Roman" w:hAnsi="Times New Roman" w:eastAsia="仿宋_GB2312"/>
          <w:color w:val="auto"/>
          <w:sz w:val="32"/>
          <w:szCs w:val="32"/>
          <w:highlight w:val="none"/>
          <w:lang w:val="en-US" w:eastAsia="zh-CN"/>
        </w:rPr>
        <w:t>草湖项目区</w:t>
      </w:r>
      <w:r>
        <w:rPr>
          <w:rFonts w:ascii="Times New Roman" w:hAnsi="Times New Roman" w:eastAsia="仿宋_GB2312"/>
          <w:color w:val="auto"/>
          <w:sz w:val="32"/>
          <w:szCs w:val="32"/>
          <w:highlight w:val="none"/>
        </w:rPr>
        <w:t>水利局提交水土保持监测季度报告及总结报告。</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（四）落实并做好水土保持监理工作，确保水土保持工程建设质量和进度。</w:t>
      </w:r>
    </w:p>
    <w:p>
      <w:pPr>
        <w:adjustRightInd w:val="0"/>
        <w:snapToGrid w:val="0"/>
        <w:spacing w:line="620" w:lineRule="exact"/>
        <w:ind w:firstLine="640" w:firstLineChars="200"/>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三、水土保持方案变更有关要求</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（一）本项目的建设地点、规模如发生重大变化，或者水土保持方案实施过程中水土保持措施发生重大变更，建设单位应及时补充或者修改水土保持方案，报我局审批。</w:t>
      </w:r>
    </w:p>
    <w:p>
      <w:pPr>
        <w:adjustRightInd w:val="0"/>
        <w:snapToGrid w:val="0"/>
        <w:spacing w:line="620" w:lineRule="exact"/>
        <w:ind w:firstLine="480" w:firstLineChars="15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（二）</w:t>
      </w:r>
      <w:r>
        <w:rPr>
          <w:rFonts w:hint="eastAsia" w:ascii="Times New Roman" w:hAnsi="Times New Roman" w:eastAsia="仿宋_GB2312"/>
          <w:color w:val="auto"/>
          <w:sz w:val="32"/>
          <w:szCs w:val="32"/>
        </w:rPr>
        <w:t>需要新设弃渣场的</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应当开展弃渣减量化、资源化论证，并在弃渣前编制水土保持方案补充报告，报我局审批。</w:t>
      </w:r>
    </w:p>
    <w:p>
      <w:pPr>
        <w:adjustRightInd w:val="0"/>
        <w:snapToGrid w:val="0"/>
        <w:spacing w:line="620" w:lineRule="exact"/>
        <w:ind w:firstLine="640" w:firstLineChars="200"/>
        <w:rPr>
          <w:rFonts w:ascii="Times New Roman" w:hAnsi="Times New Roman" w:eastAsia="黑体"/>
          <w:color w:val="auto"/>
          <w:sz w:val="32"/>
          <w:szCs w:val="32"/>
          <w:highlight w:val="none"/>
        </w:rPr>
      </w:pPr>
      <w:r>
        <w:rPr>
          <w:rFonts w:ascii="Times New Roman" w:hAnsi="Times New Roman" w:eastAsia="黑体"/>
          <w:color w:val="auto"/>
          <w:sz w:val="32"/>
          <w:szCs w:val="32"/>
          <w:highlight w:val="none"/>
        </w:rPr>
        <w:t>四、其他</w:t>
      </w:r>
    </w:p>
    <w:p>
      <w:pPr>
        <w:adjustRightInd w:val="0"/>
        <w:snapToGrid w:val="0"/>
        <w:spacing w:line="62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一）本项目在竣工验收或投产使用前应通过水土保持设施自主验收；生产建设单位应当在水土保持设施自主验收通过后3个月内，向我局报备水土保持设施验收材料。水土保持设施未经验收或者验收不合格的，生产建设项目不得投产使用。</w:t>
      </w:r>
    </w:p>
    <w:p>
      <w:pPr>
        <w:adjustRightInd w:val="0"/>
        <w:snapToGrid w:val="0"/>
        <w:spacing w:line="62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（二）本项目存在违反《中华人民共和国水土保持法》第二十六条的规定，水土保持方案未经批准而开工建设的行为。生产建设单位要深刻吸取教训，严格执行水土保持法律法规，杜绝此类行为再次发生。</w:t>
      </w:r>
    </w:p>
    <w:p>
      <w:pPr>
        <w:adjustRightInd w:val="0"/>
        <w:snapToGrid w:val="0"/>
        <w:spacing w:line="620" w:lineRule="exact"/>
        <w:ind w:firstLine="640" w:firstLineChars="200"/>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（三）</w:t>
      </w:r>
      <w:r>
        <w:rPr>
          <w:rFonts w:ascii="Times New Roman" w:hAnsi="Times New Roman" w:eastAsia="仿宋_GB2312"/>
          <w:color w:val="auto"/>
          <w:sz w:val="32"/>
          <w:szCs w:val="32"/>
          <w:highlight w:val="none"/>
        </w:rPr>
        <w:t>本</w:t>
      </w:r>
      <w:r>
        <w:rPr>
          <w:rFonts w:hint="eastAsia" w:ascii="Times New Roman" w:hAnsi="Times New Roman" w:eastAsia="仿宋_GB2312"/>
          <w:color w:val="auto"/>
          <w:sz w:val="32"/>
          <w:szCs w:val="32"/>
          <w:highlight w:val="none"/>
        </w:rPr>
        <w:t>许可文件自批准之日起有效期限3年</w:t>
      </w:r>
      <w:r>
        <w:rPr>
          <w:rFonts w:ascii="Times New Roman" w:hAnsi="Times New Roman" w:eastAsia="仿宋_GB2312"/>
          <w:color w:val="auto"/>
          <w:sz w:val="32"/>
          <w:szCs w:val="32"/>
          <w:highlight w:val="none"/>
        </w:rPr>
        <w:t>。</w:t>
      </w:r>
      <w:r>
        <w:rPr>
          <w:rFonts w:hint="eastAsia" w:ascii="Times New Roman" w:hAnsi="Times New Roman" w:eastAsia="仿宋_GB2312"/>
          <w:color w:val="auto"/>
          <w:sz w:val="32"/>
          <w:szCs w:val="32"/>
          <w:highlight w:val="none"/>
        </w:rPr>
        <w:t>在许可文件有效期内未开工建设的，生产建设单位应在许可文件有效期满的30个工作日之前向我局申请重新审核。项目在许可文件有效期内未开工建设的，或虽提出重新审核申请但未批准的，本许可文件自动失效。</w:t>
      </w:r>
    </w:p>
    <w:p>
      <w:pPr>
        <w:pStyle w:val="2"/>
        <w:rPr>
          <w:rFonts w:hint="eastAsia"/>
        </w:rPr>
      </w:pPr>
      <w:bookmarkStart w:id="0" w:name="_GoBack"/>
      <w:bookmarkEnd w:id="0"/>
    </w:p>
    <w:sectPr>
      <w:footerReference r:id="rId3" w:type="default"/>
      <w:pgSz w:w="11906" w:h="16838"/>
      <w:pgMar w:top="2098" w:right="1531" w:bottom="1531" w:left="1531" w:header="851"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GB21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tabs>
        <w:tab w:val="center" w:pos="4153"/>
        <w:tab w:val="right" w:pos="8306"/>
      </w:tabs>
      <w:snapToGrid w:val="0"/>
      <w:spacing w:beforeAutospacing="0" w:afterAutospacing="0"/>
      <w:jc w:val="right"/>
    </w:pPr>
  </w:p>
  <w:sdt>
    <w:sdtPr>
      <w:rPr>
        <w:rFonts w:cstheme="minorBidi"/>
        <w:kern w:val="2"/>
        <w:sz w:val="18"/>
        <w:szCs w:val="18"/>
      </w:rPr>
      <w:id w:val="15039671"/>
    </w:sdtPr>
    <w:sdtEndPr>
      <w:rPr>
        <w:rFonts w:hint="eastAsia" w:ascii="仿宋_GB2312" w:eastAsia="仿宋_GB2312" w:cstheme="minorBidi"/>
        <w:kern w:val="2"/>
        <w:sz w:val="32"/>
        <w:szCs w:val="32"/>
      </w:rPr>
    </w:sdtEndPr>
    <w:sdtContent>
      <w:p>
        <w:pPr>
          <w:pStyle w:val="12"/>
          <w:tabs>
            <w:tab w:val="center" w:pos="4153"/>
            <w:tab w:val="right" w:pos="8306"/>
          </w:tabs>
          <w:snapToGrid w:val="0"/>
          <w:spacing w:beforeAutospacing="0" w:afterAutospacing="0"/>
          <w:jc w:val="right"/>
          <w:rPr>
            <w:rFonts w:ascii="宋体" w:hAnsi="宋体" w:cs="宋体"/>
            <w:sz w:val="28"/>
            <w:szCs w:val="28"/>
          </w:rPr>
        </w:pPr>
        <w: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89535</wp:posOffset>
                  </wp:positionV>
                  <wp:extent cx="952500" cy="656590"/>
                  <wp:effectExtent l="0" t="0" r="0" b="0"/>
                  <wp:wrapNone/>
                  <wp:docPr id="3" name="文本框 1"/>
                  <wp:cNvGraphicFramePr/>
                  <a:graphic xmlns:a="http://schemas.openxmlformats.org/drawingml/2006/main">
                    <a:graphicData uri="http://schemas.microsoft.com/office/word/2010/wordprocessingShape">
                      <wps:wsp>
                        <wps:cNvSpPr txBox="1"/>
                        <wps:spPr>
                          <a:xfrm>
                            <a:off x="0" y="0"/>
                            <a:ext cx="952500" cy="656590"/>
                          </a:xfrm>
                          <a:prstGeom prst="rect">
                            <a:avLst/>
                          </a:prstGeom>
                          <a:noFill/>
                          <a:ln w="6350">
                            <a:noFill/>
                          </a:ln>
                        </wps:spPr>
                        <wps:txbx>
                          <w:txbxContent>
                            <w:p>
                              <w:pPr>
                                <w:pStyle w:val="8"/>
                                <w:rPr>
                                  <w:rFonts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 xml:space="preserve">— </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 PAGE  \* MERGEFORMAT </w:instrText>
                              </w:r>
                              <w:r>
                                <w:rPr>
                                  <w:rFonts w:hint="eastAsia" w:asciiTheme="minorEastAsia" w:hAnsiTheme="minorEastAsia" w:eastAsiaTheme="minorEastAsia" w:cstheme="minorEastAsia"/>
                                  <w:sz w:val="30"/>
                                  <w:szCs w:val="30"/>
                                </w:rPr>
                                <w:fldChar w:fldCharType="separate"/>
                              </w:r>
                              <w:r>
                                <w:rPr>
                                  <w:rFonts w:asciiTheme="minorEastAsia" w:hAnsiTheme="minorEastAsia" w:eastAsiaTheme="minorEastAsia" w:cstheme="minorEastAsia"/>
                                  <w:sz w:val="30"/>
                                  <w:szCs w:val="30"/>
                                </w:rPr>
                                <w:t>2</w:t>
                              </w:r>
                              <w:r>
                                <w:rPr>
                                  <w:rFonts w:hint="eastAsia" w:asciiTheme="minorEastAsia" w:hAnsiTheme="minorEastAsia" w:eastAsiaTheme="minorEastAsia" w:cstheme="minorEastAsia"/>
                                  <w:sz w:val="30"/>
                                  <w:szCs w:val="30"/>
                                </w:rPr>
                                <w:fldChar w:fldCharType="end"/>
                              </w:r>
                              <w:r>
                                <w:rPr>
                                  <w:rFonts w:hint="eastAsia" w:asciiTheme="minorEastAsia" w:hAnsiTheme="minorEastAsia" w:eastAsiaTheme="minorEastAsia" w:cstheme="minorEastAsia"/>
                                  <w:sz w:val="30"/>
                                  <w:szCs w:val="30"/>
                                </w:rPr>
                                <w:t xml:space="preserve"> —</w:t>
                              </w:r>
                            </w:p>
                            <w:p/>
                          </w:txbxContent>
                        </wps:txbx>
                        <wps:bodyPr lIns="0" tIns="0" rIns="0" bIns="0" upright="1"/>
                      </wps:wsp>
                    </a:graphicData>
                  </a:graphic>
                </wp:anchor>
              </w:drawing>
            </mc:Choice>
            <mc:Fallback>
              <w:pict>
                <v:shape id="文本框 1" o:spid="_x0000_s1026" o:spt="202" type="#_x0000_t202" style="position:absolute;left:0pt;margin-left:0pt;margin-top:7.05pt;height:51.7pt;width:75pt;mso-position-horizontal-relative:margin;z-index:251659264;mso-width-relative:page;mso-height-relative:page;" filled="f" stroked="f" coordsize="21600,21600" o:gfxdata="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IMyJbLUAAAABwEAAA8AAAAAAAAAAQAgAAAAIgAAAGRycy9kb3ducmV2LnhtbFBL&#10;AQIUABQAAAAIAIdO4kCJ2oTawQEAAHoDAAAOAAAAAAAAAAEAIAAAACMBAABkcnMvZTJvRG9jLnht&#10;bFBLBQYAAAAABgAGAFkBAABWBQAAAAA=&#10;">
                  <v:fill on="f" focussize="0,0"/>
                  <v:stroke on="f" weight="0.5pt"/>
                  <v:imagedata o:title=""/>
                  <o:lock v:ext="edit" aspectratio="f"/>
                  <v:textbox inset="0mm,0mm,0mm,0mm">
                    <w:txbxContent>
                      <w:p>
                        <w:pPr>
                          <w:pStyle w:val="8"/>
                          <w:rPr>
                            <w:rFonts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 xml:space="preserve">— </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 PAGE  \* MERGEFORMAT </w:instrText>
                        </w:r>
                        <w:r>
                          <w:rPr>
                            <w:rFonts w:hint="eastAsia" w:asciiTheme="minorEastAsia" w:hAnsiTheme="minorEastAsia" w:eastAsiaTheme="minorEastAsia" w:cstheme="minorEastAsia"/>
                            <w:sz w:val="30"/>
                            <w:szCs w:val="30"/>
                          </w:rPr>
                          <w:fldChar w:fldCharType="separate"/>
                        </w:r>
                        <w:r>
                          <w:rPr>
                            <w:rFonts w:asciiTheme="minorEastAsia" w:hAnsiTheme="minorEastAsia" w:eastAsiaTheme="minorEastAsia" w:cstheme="minorEastAsia"/>
                            <w:sz w:val="30"/>
                            <w:szCs w:val="30"/>
                          </w:rPr>
                          <w:t>2</w:t>
                        </w:r>
                        <w:r>
                          <w:rPr>
                            <w:rFonts w:hint="eastAsia" w:asciiTheme="minorEastAsia" w:hAnsiTheme="minorEastAsia" w:eastAsiaTheme="minorEastAsia" w:cstheme="minorEastAsia"/>
                            <w:sz w:val="30"/>
                            <w:szCs w:val="30"/>
                          </w:rPr>
                          <w:fldChar w:fldCharType="end"/>
                        </w:r>
                        <w:r>
                          <w:rPr>
                            <w:rFonts w:hint="eastAsia" w:asciiTheme="minorEastAsia" w:hAnsiTheme="minorEastAsia" w:eastAsiaTheme="minorEastAsia" w:cstheme="minorEastAsia"/>
                            <w:sz w:val="30"/>
                            <w:szCs w:val="30"/>
                          </w:rPr>
                          <w:t xml:space="preserve"> —</w:t>
                        </w:r>
                      </w:p>
                      <w:p/>
                    </w:txbxContent>
                  </v:textbox>
                </v:shape>
              </w:pict>
            </mc:Fallback>
          </mc:AlternateContent>
        </w:r>
      </w:p>
      <w:p>
        <w:pPr>
          <w:pStyle w:val="8"/>
          <w:tabs>
            <w:tab w:val="left" w:pos="8195"/>
            <w:tab w:val="right" w:pos="8964"/>
          </w:tabs>
          <w:rPr>
            <w:rFonts w:ascii="仿宋_GB2312" w:eastAsia="仿宋_GB2312"/>
            <w:sz w:val="32"/>
            <w:szCs w:val="32"/>
          </w:rPr>
        </w:pP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p>
    </w:sdtContent>
  </w:sdt>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1"/>
  <w:bordersDoNotSurroundFooter w:val="1"/>
  <w:documentProtection w:enforcement="0"/>
  <w:defaultTabStop w:val="420"/>
  <w:drawingGridHorizontalSpacing w:val="105"/>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A39"/>
    <w:rsid w:val="00060A39"/>
    <w:rsid w:val="000726F1"/>
    <w:rsid w:val="000B17B2"/>
    <w:rsid w:val="0011706B"/>
    <w:rsid w:val="00136878"/>
    <w:rsid w:val="00160A10"/>
    <w:rsid w:val="00165834"/>
    <w:rsid w:val="001948C1"/>
    <w:rsid w:val="001F376E"/>
    <w:rsid w:val="00210EAC"/>
    <w:rsid w:val="00281AF0"/>
    <w:rsid w:val="002952DD"/>
    <w:rsid w:val="002C55B2"/>
    <w:rsid w:val="0031045D"/>
    <w:rsid w:val="00357C57"/>
    <w:rsid w:val="0037447F"/>
    <w:rsid w:val="003E1369"/>
    <w:rsid w:val="005D009A"/>
    <w:rsid w:val="005D556E"/>
    <w:rsid w:val="005E53FF"/>
    <w:rsid w:val="00657832"/>
    <w:rsid w:val="006C74FD"/>
    <w:rsid w:val="006E7DC8"/>
    <w:rsid w:val="00815B8A"/>
    <w:rsid w:val="00955E00"/>
    <w:rsid w:val="00A4712E"/>
    <w:rsid w:val="00A5696F"/>
    <w:rsid w:val="00AA65BE"/>
    <w:rsid w:val="00B34820"/>
    <w:rsid w:val="00BA41BF"/>
    <w:rsid w:val="00BB49DF"/>
    <w:rsid w:val="00BE67BE"/>
    <w:rsid w:val="00C25F27"/>
    <w:rsid w:val="00C43E6C"/>
    <w:rsid w:val="00CB4B72"/>
    <w:rsid w:val="00DD5AD2"/>
    <w:rsid w:val="00DE0EFE"/>
    <w:rsid w:val="00E15523"/>
    <w:rsid w:val="00E23466"/>
    <w:rsid w:val="00E81B3A"/>
    <w:rsid w:val="00EE5380"/>
    <w:rsid w:val="00F01978"/>
    <w:rsid w:val="00F1049F"/>
    <w:rsid w:val="00FC6414"/>
    <w:rsid w:val="00FD48AC"/>
    <w:rsid w:val="0510353A"/>
    <w:rsid w:val="077603E9"/>
    <w:rsid w:val="08F5CB51"/>
    <w:rsid w:val="09E246B4"/>
    <w:rsid w:val="0C9408D6"/>
    <w:rsid w:val="0D15DD02"/>
    <w:rsid w:val="10AA654C"/>
    <w:rsid w:val="1518078B"/>
    <w:rsid w:val="15B7C1E5"/>
    <w:rsid w:val="15D05B62"/>
    <w:rsid w:val="16A7B22E"/>
    <w:rsid w:val="177F418F"/>
    <w:rsid w:val="1AF30543"/>
    <w:rsid w:val="1C5273EB"/>
    <w:rsid w:val="1FEFBAEE"/>
    <w:rsid w:val="1FF55B5E"/>
    <w:rsid w:val="1FFFE1A3"/>
    <w:rsid w:val="25BF3C5F"/>
    <w:rsid w:val="276FAD9F"/>
    <w:rsid w:val="277F14E3"/>
    <w:rsid w:val="2BBDE951"/>
    <w:rsid w:val="2BCD93D9"/>
    <w:rsid w:val="2CC26B9B"/>
    <w:rsid w:val="2CE7C142"/>
    <w:rsid w:val="2D767329"/>
    <w:rsid w:val="2DFF7458"/>
    <w:rsid w:val="357EA35C"/>
    <w:rsid w:val="36C59992"/>
    <w:rsid w:val="3773D0FF"/>
    <w:rsid w:val="37ABC545"/>
    <w:rsid w:val="37AD6DEE"/>
    <w:rsid w:val="37C7E579"/>
    <w:rsid w:val="39F7445B"/>
    <w:rsid w:val="3D0F04DD"/>
    <w:rsid w:val="3D9CC7F5"/>
    <w:rsid w:val="3DFEE8AC"/>
    <w:rsid w:val="3EABF476"/>
    <w:rsid w:val="3ED14E04"/>
    <w:rsid w:val="3F6B4BF2"/>
    <w:rsid w:val="3FB12261"/>
    <w:rsid w:val="3FBB81E0"/>
    <w:rsid w:val="3FD78C21"/>
    <w:rsid w:val="3FFF927D"/>
    <w:rsid w:val="4191042A"/>
    <w:rsid w:val="42DA6169"/>
    <w:rsid w:val="4589396C"/>
    <w:rsid w:val="47C42E82"/>
    <w:rsid w:val="47F3D39B"/>
    <w:rsid w:val="497D089F"/>
    <w:rsid w:val="4AEFBFC3"/>
    <w:rsid w:val="4B7F743F"/>
    <w:rsid w:val="4DCB5500"/>
    <w:rsid w:val="4E4E7A7F"/>
    <w:rsid w:val="511A2846"/>
    <w:rsid w:val="54714FEC"/>
    <w:rsid w:val="567F31C3"/>
    <w:rsid w:val="56CE221F"/>
    <w:rsid w:val="56EF67A3"/>
    <w:rsid w:val="56FB7AF7"/>
    <w:rsid w:val="56FECD8E"/>
    <w:rsid w:val="57DD7250"/>
    <w:rsid w:val="57E541FD"/>
    <w:rsid w:val="59B966A2"/>
    <w:rsid w:val="59F781D1"/>
    <w:rsid w:val="5ADF5359"/>
    <w:rsid w:val="5AFD54DC"/>
    <w:rsid w:val="5C3749EC"/>
    <w:rsid w:val="5DBE403E"/>
    <w:rsid w:val="5DF52427"/>
    <w:rsid w:val="5DFF6426"/>
    <w:rsid w:val="5DFFF839"/>
    <w:rsid w:val="5E5B6160"/>
    <w:rsid w:val="5E7FCD46"/>
    <w:rsid w:val="5F7E79F7"/>
    <w:rsid w:val="5F7F6801"/>
    <w:rsid w:val="5FAB16C4"/>
    <w:rsid w:val="5FE9058A"/>
    <w:rsid w:val="5FF506EF"/>
    <w:rsid w:val="5FFB2637"/>
    <w:rsid w:val="5FFB445D"/>
    <w:rsid w:val="5FFBB8D1"/>
    <w:rsid w:val="5FFDADC6"/>
    <w:rsid w:val="61EF97A7"/>
    <w:rsid w:val="63316596"/>
    <w:rsid w:val="63BDCC9E"/>
    <w:rsid w:val="65BEFB48"/>
    <w:rsid w:val="65EF9FAB"/>
    <w:rsid w:val="65F30E6C"/>
    <w:rsid w:val="6609EA31"/>
    <w:rsid w:val="66FD2DAD"/>
    <w:rsid w:val="67FF897C"/>
    <w:rsid w:val="68FF652B"/>
    <w:rsid w:val="69F90F7B"/>
    <w:rsid w:val="6ABF1D35"/>
    <w:rsid w:val="6ADECD1D"/>
    <w:rsid w:val="6BBAAE52"/>
    <w:rsid w:val="6BC689E4"/>
    <w:rsid w:val="6CBD5BBC"/>
    <w:rsid w:val="6CFF7D0C"/>
    <w:rsid w:val="6D5F841C"/>
    <w:rsid w:val="6D7DDA2B"/>
    <w:rsid w:val="6DF36B34"/>
    <w:rsid w:val="6ECE4282"/>
    <w:rsid w:val="6F333984"/>
    <w:rsid w:val="6FBDBB08"/>
    <w:rsid w:val="6FDF1581"/>
    <w:rsid w:val="6FDFCCDC"/>
    <w:rsid w:val="6FF961CF"/>
    <w:rsid w:val="6FFFD509"/>
    <w:rsid w:val="71FA341B"/>
    <w:rsid w:val="72F533E9"/>
    <w:rsid w:val="736A78B5"/>
    <w:rsid w:val="73CB5CC4"/>
    <w:rsid w:val="73EF7612"/>
    <w:rsid w:val="73FF6B33"/>
    <w:rsid w:val="747CB5D5"/>
    <w:rsid w:val="754F5E2F"/>
    <w:rsid w:val="757F0E8B"/>
    <w:rsid w:val="762D9FAC"/>
    <w:rsid w:val="767F4092"/>
    <w:rsid w:val="76B75B88"/>
    <w:rsid w:val="76EFBA82"/>
    <w:rsid w:val="76FD9640"/>
    <w:rsid w:val="773D781D"/>
    <w:rsid w:val="779C5972"/>
    <w:rsid w:val="779DA164"/>
    <w:rsid w:val="77BE7569"/>
    <w:rsid w:val="77FF2DC6"/>
    <w:rsid w:val="77FF4CDA"/>
    <w:rsid w:val="7873A8B8"/>
    <w:rsid w:val="79CF3861"/>
    <w:rsid w:val="7A928D84"/>
    <w:rsid w:val="7AFF0BB2"/>
    <w:rsid w:val="7B5D6AA8"/>
    <w:rsid w:val="7BB739DF"/>
    <w:rsid w:val="7BDF4EC3"/>
    <w:rsid w:val="7BE7F7A1"/>
    <w:rsid w:val="7BF728A2"/>
    <w:rsid w:val="7CA70252"/>
    <w:rsid w:val="7CD7DCE0"/>
    <w:rsid w:val="7CDE0243"/>
    <w:rsid w:val="7CFF7BCB"/>
    <w:rsid w:val="7D4F06CD"/>
    <w:rsid w:val="7DF71F2F"/>
    <w:rsid w:val="7DFC4946"/>
    <w:rsid w:val="7E7E6B00"/>
    <w:rsid w:val="7E7FA8C2"/>
    <w:rsid w:val="7E868447"/>
    <w:rsid w:val="7EB3B5F6"/>
    <w:rsid w:val="7EDA2715"/>
    <w:rsid w:val="7EDF69ED"/>
    <w:rsid w:val="7EFDAD05"/>
    <w:rsid w:val="7F3E2E42"/>
    <w:rsid w:val="7F6B778C"/>
    <w:rsid w:val="7F7CE299"/>
    <w:rsid w:val="7F7F38C3"/>
    <w:rsid w:val="7F8A4E38"/>
    <w:rsid w:val="7F9DC62C"/>
    <w:rsid w:val="7FAFB3FF"/>
    <w:rsid w:val="7FB57B3B"/>
    <w:rsid w:val="7FB9F08C"/>
    <w:rsid w:val="7FC7479A"/>
    <w:rsid w:val="7FED66DD"/>
    <w:rsid w:val="7FF521D7"/>
    <w:rsid w:val="7FF70EC1"/>
    <w:rsid w:val="7FFB0BAD"/>
    <w:rsid w:val="7FFECB7D"/>
    <w:rsid w:val="7FFF51D7"/>
    <w:rsid w:val="8558657C"/>
    <w:rsid w:val="9DD4B11C"/>
    <w:rsid w:val="9DDCD6E6"/>
    <w:rsid w:val="9EC6377E"/>
    <w:rsid w:val="9EE736D8"/>
    <w:rsid w:val="9F9B230E"/>
    <w:rsid w:val="9FDF5510"/>
    <w:rsid w:val="9FF88565"/>
    <w:rsid w:val="9FF92DF2"/>
    <w:rsid w:val="A3FB5B28"/>
    <w:rsid w:val="AA6DB423"/>
    <w:rsid w:val="AAF7A959"/>
    <w:rsid w:val="AD5EC8A9"/>
    <w:rsid w:val="ADEFFEAA"/>
    <w:rsid w:val="AE3D1644"/>
    <w:rsid w:val="AED87C9C"/>
    <w:rsid w:val="AEFE5CB2"/>
    <w:rsid w:val="AF5E779F"/>
    <w:rsid w:val="AFFD1DF0"/>
    <w:rsid w:val="B3E54824"/>
    <w:rsid w:val="B5EFD44D"/>
    <w:rsid w:val="B6DF338A"/>
    <w:rsid w:val="B6FCF949"/>
    <w:rsid w:val="B6FFF3EF"/>
    <w:rsid w:val="B768578A"/>
    <w:rsid w:val="B76FE9CE"/>
    <w:rsid w:val="B77EDCC1"/>
    <w:rsid w:val="B7E78EC9"/>
    <w:rsid w:val="B81FF1FD"/>
    <w:rsid w:val="B9FE37F1"/>
    <w:rsid w:val="BBBAF30E"/>
    <w:rsid w:val="BC6FFF0E"/>
    <w:rsid w:val="BCAD3EDB"/>
    <w:rsid w:val="BCFF0849"/>
    <w:rsid w:val="BCFFD61B"/>
    <w:rsid w:val="BD6F860F"/>
    <w:rsid w:val="BE57FB9E"/>
    <w:rsid w:val="BEEFC609"/>
    <w:rsid w:val="BEFF7450"/>
    <w:rsid w:val="BFAF2A70"/>
    <w:rsid w:val="BFBDA004"/>
    <w:rsid w:val="BFE7F4F1"/>
    <w:rsid w:val="BFEFC02B"/>
    <w:rsid w:val="BFFCC9BD"/>
    <w:rsid w:val="C2ECE50D"/>
    <w:rsid w:val="C3BDADC4"/>
    <w:rsid w:val="C73ED9A2"/>
    <w:rsid w:val="CFE77E99"/>
    <w:rsid w:val="CFEE8A4D"/>
    <w:rsid w:val="CFFF1324"/>
    <w:rsid w:val="D3FB7F1F"/>
    <w:rsid w:val="D44F63A9"/>
    <w:rsid w:val="D77F4DD6"/>
    <w:rsid w:val="D7AFC19F"/>
    <w:rsid w:val="D7BF400D"/>
    <w:rsid w:val="D81AA628"/>
    <w:rsid w:val="DB7EA70B"/>
    <w:rsid w:val="DBDEE22A"/>
    <w:rsid w:val="DCFECC43"/>
    <w:rsid w:val="DDEB1953"/>
    <w:rsid w:val="DDEF1E96"/>
    <w:rsid w:val="DEFB78D6"/>
    <w:rsid w:val="DEFF9587"/>
    <w:rsid w:val="DF462446"/>
    <w:rsid w:val="DFBFFFEE"/>
    <w:rsid w:val="DFFF843E"/>
    <w:rsid w:val="E3BF5BC3"/>
    <w:rsid w:val="E4AF9A44"/>
    <w:rsid w:val="E5DE5E8B"/>
    <w:rsid w:val="E6FD435C"/>
    <w:rsid w:val="E7F7D2D2"/>
    <w:rsid w:val="E9F95819"/>
    <w:rsid w:val="EABFC4AC"/>
    <w:rsid w:val="EAFBB269"/>
    <w:rsid w:val="EBDDE7D3"/>
    <w:rsid w:val="EBDF8FB5"/>
    <w:rsid w:val="EBFFABF4"/>
    <w:rsid w:val="EDF5A69A"/>
    <w:rsid w:val="EDFF5EF9"/>
    <w:rsid w:val="EE7DD690"/>
    <w:rsid w:val="EEBFB97B"/>
    <w:rsid w:val="EEFD3AA1"/>
    <w:rsid w:val="EEFF118D"/>
    <w:rsid w:val="EFCF77EC"/>
    <w:rsid w:val="EFDB803C"/>
    <w:rsid w:val="EFF7C868"/>
    <w:rsid w:val="EFFD77CA"/>
    <w:rsid w:val="EFFF3C8F"/>
    <w:rsid w:val="F28F9900"/>
    <w:rsid w:val="F35F1A01"/>
    <w:rsid w:val="F38F7E0E"/>
    <w:rsid w:val="F4D586DE"/>
    <w:rsid w:val="F56F2CA7"/>
    <w:rsid w:val="F6FEB692"/>
    <w:rsid w:val="F73C2298"/>
    <w:rsid w:val="F73DB3E4"/>
    <w:rsid w:val="F75FBFB1"/>
    <w:rsid w:val="F77FDA54"/>
    <w:rsid w:val="F787A12E"/>
    <w:rsid w:val="F78FA5CE"/>
    <w:rsid w:val="F7B6045E"/>
    <w:rsid w:val="F7BF058B"/>
    <w:rsid w:val="F7BF97EC"/>
    <w:rsid w:val="F7DB23AD"/>
    <w:rsid w:val="F7DF2383"/>
    <w:rsid w:val="F7FF1A09"/>
    <w:rsid w:val="F7FFCB9E"/>
    <w:rsid w:val="F97F8BD2"/>
    <w:rsid w:val="F9F71D2F"/>
    <w:rsid w:val="FAF37EAC"/>
    <w:rsid w:val="FAFDD75F"/>
    <w:rsid w:val="FAFF1194"/>
    <w:rsid w:val="FB0EFDB6"/>
    <w:rsid w:val="FB17BB92"/>
    <w:rsid w:val="FB3F26A4"/>
    <w:rsid w:val="FB5D8A14"/>
    <w:rsid w:val="FBB7CE30"/>
    <w:rsid w:val="FBBE108A"/>
    <w:rsid w:val="FBBE8847"/>
    <w:rsid w:val="FBCEC863"/>
    <w:rsid w:val="FBE6F359"/>
    <w:rsid w:val="FBED77EE"/>
    <w:rsid w:val="FBEF8848"/>
    <w:rsid w:val="FBF7E6A5"/>
    <w:rsid w:val="FBF82560"/>
    <w:rsid w:val="FBFF3FF2"/>
    <w:rsid w:val="FBFFFF6C"/>
    <w:rsid w:val="FCDA7E03"/>
    <w:rsid w:val="FCDFF9CB"/>
    <w:rsid w:val="FCE75802"/>
    <w:rsid w:val="FCF7AAE4"/>
    <w:rsid w:val="FD5FFD87"/>
    <w:rsid w:val="FD73C66D"/>
    <w:rsid w:val="FD87368A"/>
    <w:rsid w:val="FDB77FCB"/>
    <w:rsid w:val="FDEF2422"/>
    <w:rsid w:val="FDEF58BA"/>
    <w:rsid w:val="FDF98659"/>
    <w:rsid w:val="FDFDFB5A"/>
    <w:rsid w:val="FE9FE4AC"/>
    <w:rsid w:val="FEAC589B"/>
    <w:rsid w:val="FEB777B4"/>
    <w:rsid w:val="FEBE7B26"/>
    <w:rsid w:val="FEBFC843"/>
    <w:rsid w:val="FEF29630"/>
    <w:rsid w:val="FEF5AC3F"/>
    <w:rsid w:val="FEFC7758"/>
    <w:rsid w:val="FEFD8690"/>
    <w:rsid w:val="FF19A27D"/>
    <w:rsid w:val="FF3A6AEF"/>
    <w:rsid w:val="FF4B82F8"/>
    <w:rsid w:val="FF73D0EA"/>
    <w:rsid w:val="FFB97BCB"/>
    <w:rsid w:val="FFBCEECF"/>
    <w:rsid w:val="FFBE3C0F"/>
    <w:rsid w:val="FFBFCBE2"/>
    <w:rsid w:val="FFDFC0ED"/>
    <w:rsid w:val="FFE6D275"/>
    <w:rsid w:val="FFF63777"/>
    <w:rsid w:val="FFF9F88E"/>
    <w:rsid w:val="FFFAA4D9"/>
    <w:rsid w:val="FFFAD66D"/>
    <w:rsid w:val="FFFBDEA3"/>
    <w:rsid w:val="FFFDACD8"/>
    <w:rsid w:val="FFFF5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1"/>
    <w:qFormat/>
    <w:uiPriority w:val="0"/>
    <w:pPr>
      <w:spacing w:line="560" w:lineRule="exact"/>
    </w:pPr>
    <w:rPr>
      <w:sz w:val="28"/>
    </w:rPr>
  </w:style>
  <w:style w:type="paragraph" w:styleId="5">
    <w:name w:val="Body Text Indent"/>
    <w:basedOn w:val="1"/>
    <w:link w:val="25"/>
    <w:semiHidden/>
    <w:unhideWhenUsed/>
    <w:qFormat/>
    <w:uiPriority w:val="99"/>
    <w:pPr>
      <w:spacing w:after="120"/>
      <w:ind w:left="420" w:leftChars="200"/>
    </w:pPr>
  </w:style>
  <w:style w:type="paragraph" w:styleId="6">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7">
    <w:name w:val="Date"/>
    <w:basedOn w:val="1"/>
    <w:next w:val="1"/>
    <w:link w:val="22"/>
    <w:qFormat/>
    <w:uiPriority w:val="0"/>
    <w:rPr>
      <w:rFonts w:eastAsia="楷体_GB2312"/>
      <w:kern w:val="4"/>
      <w:sz w:val="32"/>
      <w:szCs w:val="20"/>
    </w:rPr>
  </w:style>
  <w:style w:type="paragraph" w:styleId="8">
    <w:name w:val="footer"/>
    <w:basedOn w:val="1"/>
    <w:link w:val="23"/>
    <w:qFormat/>
    <w:uiPriority w:val="0"/>
    <w:pPr>
      <w:tabs>
        <w:tab w:val="center" w:pos="4153"/>
        <w:tab w:val="right" w:pos="8306"/>
      </w:tabs>
      <w:snapToGrid w:val="0"/>
      <w:jc w:val="left"/>
    </w:pPr>
    <w:rPr>
      <w:sz w:val="18"/>
      <w:szCs w:val="18"/>
    </w:rPr>
  </w:style>
  <w:style w:type="paragraph" w:styleId="9">
    <w:name w:val="header"/>
    <w:basedOn w:val="1"/>
    <w:link w:val="20"/>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1">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2">
    <w:name w:val="Normal (Web)"/>
    <w:basedOn w:val="1"/>
    <w:qFormat/>
    <w:uiPriority w:val="0"/>
    <w:pPr>
      <w:spacing w:beforeAutospacing="1" w:afterAutospacing="1"/>
      <w:jc w:val="left"/>
    </w:pPr>
    <w:rPr>
      <w:kern w:val="0"/>
      <w:sz w:val="24"/>
    </w:rPr>
  </w:style>
  <w:style w:type="paragraph" w:styleId="13">
    <w:name w:val="Body Text First Indent 2"/>
    <w:basedOn w:val="5"/>
    <w:link w:val="26"/>
    <w:semiHidden/>
    <w:unhideWhenUsed/>
    <w:qFormat/>
    <w:uiPriority w:val="99"/>
    <w:pPr>
      <w:ind w:firstLine="420" w:firstLineChars="200"/>
    </w:pPr>
  </w:style>
  <w:style w:type="character" w:styleId="16">
    <w:name w:val="page number"/>
    <w:basedOn w:val="15"/>
    <w:qFormat/>
    <w:uiPriority w:val="0"/>
  </w:style>
  <w:style w:type="character" w:styleId="17">
    <w:name w:val="Hyperlink"/>
    <w:basedOn w:val="15"/>
    <w:unhideWhenUsed/>
    <w:qFormat/>
    <w:uiPriority w:val="99"/>
    <w:rPr>
      <w:color w:val="0563C1" w:themeColor="hyperlink"/>
      <w:u w:val="single"/>
      <w14:textFill>
        <w14:solidFill>
          <w14:schemeClr w14:val="hlink"/>
        </w14:solidFill>
      </w14:textFill>
    </w:rPr>
  </w:style>
  <w:style w:type="character" w:customStyle="1" w:styleId="18">
    <w:name w:val="标题 1 Char"/>
    <w:basedOn w:val="15"/>
    <w:link w:val="3"/>
    <w:qFormat/>
    <w:uiPriority w:val="9"/>
    <w:rPr>
      <w:rFonts w:ascii="Times New Roman" w:hAnsi="Times New Roman" w:eastAsia="宋体" w:cs="Times New Roman"/>
      <w:b/>
      <w:bCs/>
      <w:kern w:val="44"/>
      <w:sz w:val="44"/>
      <w:szCs w:val="44"/>
    </w:rPr>
  </w:style>
  <w:style w:type="character" w:customStyle="1" w:styleId="19">
    <w:name w:val="标题 2 Char"/>
    <w:basedOn w:val="15"/>
    <w:link w:val="4"/>
    <w:qFormat/>
    <w:uiPriority w:val="9"/>
    <w:rPr>
      <w:rFonts w:asciiTheme="majorHAnsi" w:hAnsiTheme="majorHAnsi" w:eastAsiaTheme="majorEastAsia" w:cstheme="majorBidi"/>
      <w:b/>
      <w:bCs/>
      <w:sz w:val="32"/>
      <w:szCs w:val="32"/>
    </w:rPr>
  </w:style>
  <w:style w:type="character" w:customStyle="1" w:styleId="20">
    <w:name w:val="页眉 Char"/>
    <w:link w:val="9"/>
    <w:qFormat/>
    <w:uiPriority w:val="0"/>
    <w:rPr>
      <w:rFonts w:ascii="Times New Roman" w:hAnsi="Times New Roman" w:eastAsia="宋体" w:cs="Times New Roman"/>
      <w:kern w:val="2"/>
      <w:sz w:val="18"/>
      <w:szCs w:val="24"/>
    </w:rPr>
  </w:style>
  <w:style w:type="character" w:customStyle="1" w:styleId="21">
    <w:name w:val="正文文本 Char"/>
    <w:basedOn w:val="15"/>
    <w:link w:val="2"/>
    <w:qFormat/>
    <w:uiPriority w:val="0"/>
    <w:rPr>
      <w:rFonts w:ascii="Times New Roman" w:hAnsi="Times New Roman" w:eastAsia="宋体" w:cs="Times New Roman"/>
      <w:sz w:val="28"/>
      <w:szCs w:val="24"/>
    </w:rPr>
  </w:style>
  <w:style w:type="character" w:customStyle="1" w:styleId="22">
    <w:name w:val="日期 Char"/>
    <w:basedOn w:val="15"/>
    <w:link w:val="7"/>
    <w:qFormat/>
    <w:uiPriority w:val="0"/>
    <w:rPr>
      <w:rFonts w:ascii="Times New Roman" w:hAnsi="Times New Roman" w:eastAsia="楷体_GB2312" w:cs="Times New Roman"/>
      <w:kern w:val="4"/>
      <w:sz w:val="32"/>
      <w:szCs w:val="20"/>
    </w:rPr>
  </w:style>
  <w:style w:type="character" w:customStyle="1" w:styleId="23">
    <w:name w:val="页脚 Char"/>
    <w:basedOn w:val="15"/>
    <w:link w:val="8"/>
    <w:qFormat/>
    <w:uiPriority w:val="0"/>
    <w:rPr>
      <w:rFonts w:ascii="Times New Roman" w:hAnsi="Times New Roman" w:eastAsia="宋体" w:cs="Times New Roman"/>
      <w:sz w:val="18"/>
      <w:szCs w:val="18"/>
    </w:rPr>
  </w:style>
  <w:style w:type="paragraph" w:customStyle="1" w:styleId="24">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25">
    <w:name w:val="正文文本缩进 Char"/>
    <w:basedOn w:val="15"/>
    <w:link w:val="5"/>
    <w:semiHidden/>
    <w:qFormat/>
    <w:uiPriority w:val="99"/>
    <w:rPr>
      <w:rFonts w:ascii="Times New Roman" w:hAnsi="Times New Roman" w:eastAsia="宋体" w:cs="Times New Roman"/>
      <w:kern w:val="2"/>
      <w:sz w:val="21"/>
      <w:szCs w:val="24"/>
    </w:rPr>
  </w:style>
  <w:style w:type="character" w:customStyle="1" w:styleId="26">
    <w:name w:val="正文首行缩进 2 Char"/>
    <w:basedOn w:val="25"/>
    <w:link w:val="13"/>
    <w:semiHidden/>
    <w:qFormat/>
    <w:uiPriority w:val="99"/>
    <w:rPr>
      <w:rFonts w:ascii="Times New Roman" w:hAnsi="Times New Roman" w:eastAsia="宋体" w:cs="Times New Roman"/>
      <w:kern w:val="2"/>
      <w:sz w:val="21"/>
      <w:szCs w:val="24"/>
    </w:rPr>
  </w:style>
  <w:style w:type="paragraph" w:customStyle="1" w:styleId="27">
    <w:name w:val="默认段落"/>
    <w:basedOn w:val="1"/>
    <w:qFormat/>
    <w:uiPriority w:val="0"/>
    <w:pPr>
      <w:adjustRightInd w:val="0"/>
      <w:snapToGrid w:val="0"/>
      <w:spacing w:line="360" w:lineRule="auto"/>
    </w:pPr>
    <w:rPr>
      <w:sz w:val="24"/>
    </w:rPr>
  </w:style>
  <w:style w:type="paragraph" w:customStyle="1" w:styleId="28">
    <w:name w:val="表格内容"/>
    <w:basedOn w:val="1"/>
    <w:next w:val="1"/>
    <w:qFormat/>
    <w:uiPriority w:val="0"/>
    <w:pPr>
      <w:adjustRightInd w:val="0"/>
      <w:snapToGrid w:val="0"/>
      <w:jc w:val="center"/>
    </w:pPr>
    <w:rPr>
      <w:rFonts w:eastAsia="仿宋_GB2312"/>
      <w:szCs w:val="21"/>
    </w:rPr>
  </w:style>
  <w:style w:type="paragraph" w:customStyle="1" w:styleId="29">
    <w:name w:val="AAA 正文"/>
    <w:next w:val="1"/>
    <w:qFormat/>
    <w:uiPriority w:val="0"/>
    <w:pPr>
      <w:adjustRightInd w:val="0"/>
      <w:snapToGrid w:val="0"/>
      <w:spacing w:line="560" w:lineRule="exact"/>
      <w:ind w:firstLine="640" w:firstLineChars="200"/>
      <w:jc w:val="both"/>
    </w:pPr>
    <w:rPr>
      <w:rFonts w:hint="eastAsia" w:ascii="Times New Roman" w:hAnsi="Times New Roman" w:eastAsia="仿宋_GB2312" w:cs="Times New Roman"/>
      <w:color w:val="000000" w:themeColor="text1"/>
      <w:sz w:val="32"/>
      <w:szCs w:val="32"/>
      <w:lang w:val="en-US" w:eastAsia="zh-CN" w:bidi="ar-SA"/>
      <w14:textFill>
        <w14:solidFill>
          <w14:schemeClr w14:val="tx1"/>
        </w14:solidFill>
      </w14:textFil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13</Pages>
  <Words>3710</Words>
  <Characters>3762</Characters>
  <Lines>96</Lines>
  <Paragraphs>27</Paragraphs>
  <TotalTime>0</TotalTime>
  <ScaleCrop>false</ScaleCrop>
  <LinksUpToDate>false</LinksUpToDate>
  <CharactersWithSpaces>3762</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2024-05-06T13:13:00Z</dcterms:created>
  <dc:creator>Kevin Lenovo</dc:creator>
  <cp:lastModifiedBy>btstbc</cp:lastModifiedBy>
  <cp:lastPrinted>2026-03-18T12:54:00Z</cp:lastPrinted>
  <dcterms:modified xsi:type="dcterms:W3CDTF">2026-10-20T04:05:30Z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KSOTemplateDocerSaveRecord">
    <vt:lpwstr>eyJoZGlkIjoiZTk4ODZhYTZjZDY5N2EwMTFlZjE3MWJiNzVlOGE4N2YiLCJ1c2VySWQiOiIxMDE4MDI1MDEyIn0=</vt:lpwstr>
  </property>
  <property fmtid="{D5CDD505-2E9C-101B-9397-08002B2CF9AE}" pid="4" name="ICV">
    <vt:lpwstr>D325A77AC5914C509FA7380A7C340B02_12</vt:lpwstr>
  </property>
</Properties>
</file>