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附件2</w:t>
      </w:r>
    </w:p>
    <w:p>
      <w:pPr>
        <w:pStyle w:val="2"/>
        <w:spacing w:line="440" w:lineRule="exact"/>
        <w:jc w:val="center"/>
        <w:outlineLvl w:val="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水土保持方案报告书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批复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文件</w:t>
      </w:r>
    </w:p>
    <w:p>
      <w:pPr>
        <w:pStyle w:val="2"/>
        <w:spacing w:line="440" w:lineRule="exact"/>
        <w:jc w:val="center"/>
        <w:rPr>
          <w:rFonts w:ascii="仿宋_GB2312" w:hAnsi="仿宋_GB2312" w:eastAsia="仿宋_GB2312" w:cs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（202</w:t>
      </w:r>
      <w:r>
        <w:rPr>
          <w:rFonts w:hint="eastAsia" w:eastAsia="仿宋_GB2312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年</w:t>
      </w:r>
      <w:r>
        <w:rPr>
          <w:rFonts w:hint="default" w:eastAsia="仿宋_GB2312" w:cs="Times New Roman"/>
          <w:color w:val="000000" w:themeColor="text1"/>
          <w:sz w:val="24"/>
          <w:lang w:val="en-US"/>
          <w14:textFill>
            <w14:solidFill>
              <w14:schemeClr w14:val="tx1"/>
            </w14:solidFill>
          </w14:textFill>
        </w:rPr>
        <w:t>8</w:t>
      </w:r>
      <w:r>
        <w:rPr>
          <w:rFonts w:hint="default" w:ascii="Times New Roman" w:hAnsi="Times New Roman" w:eastAsia="仿宋_GB2312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ascii="仿宋_GB2312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0"/>
        <w:jc w:val="left"/>
        <w:textAlignment w:val="auto"/>
        <w:rPr>
          <w:rFonts w:hint="eastAsia" w:eastAsia="仿宋_GB2312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1.S739线墨玉-和墨洛产业园-G580公路</w:t>
      </w:r>
      <w:r>
        <w:rPr>
          <w:rFonts w:hint="eastAsia" w:eastAsia="仿宋_GB2312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水土保持方案审批准予行政许可决定书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eastAsia="仿宋_GB2312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eastAsia="仿宋_GB2312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G217阿拉尔至图木舒克公路水土保持方案审批准予行政许可决定书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0"/>
        <w:jc w:val="left"/>
        <w:textAlignment w:val="auto"/>
        <w:rPr>
          <w:rFonts w:hint="eastAsia" w:eastAsia="仿宋_GB2312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ind w:firstLine="480" w:firstLineChars="200"/>
        <w:rPr>
          <w:rFonts w:ascii="仿宋_GB2312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  <w:sectPr>
          <w:pgSz w:w="11906" w:h="16838"/>
          <w:pgMar w:top="2041" w:right="1531" w:bottom="2041" w:left="1531" w:header="851" w:footer="992" w:gutter="0"/>
          <w:cols w:space="425" w:num="1"/>
          <w:docGrid w:type="lines" w:linePitch="318" w:charSpace="0"/>
        </w:sectPr>
      </w:pPr>
    </w:p>
    <w:p>
      <w:pPr>
        <w:spacing w:line="560" w:lineRule="exact"/>
        <w:jc w:val="center"/>
        <w:rPr>
          <w:rFonts w:hint="eastAsia" w:ascii="Times New Roman" w:hAnsi="Times New Roman" w:eastAsia="方正小标宋简体"/>
          <w:color w:val="auto"/>
          <w:sz w:val="44"/>
          <w:szCs w:val="44"/>
          <w:highlight w:val="none"/>
        </w:rPr>
      </w:pPr>
      <w:r>
        <w:rPr>
          <w:rFonts w:hint="eastAsia" w:ascii="Times New Roman" w:hAnsi="Times New Roman" w:eastAsia="方正小标宋简体"/>
          <w:color w:val="auto"/>
          <w:sz w:val="44"/>
          <w:szCs w:val="44"/>
          <w:highlight w:val="none"/>
        </w:rPr>
        <w:t>S739线墨玉-和墨洛产业园-G580公路</w:t>
      </w:r>
    </w:p>
    <w:p>
      <w:pPr>
        <w:spacing w:line="560" w:lineRule="exact"/>
        <w:jc w:val="center"/>
        <w:rPr>
          <w:rFonts w:ascii="Times New Roman" w:hAnsi="Times New Roman" w:eastAsia="方正小标宋简体"/>
          <w:color w:val="auto"/>
          <w:sz w:val="44"/>
          <w:szCs w:val="44"/>
          <w:highlight w:val="none"/>
        </w:rPr>
      </w:pPr>
      <w:r>
        <w:rPr>
          <w:rFonts w:ascii="Times New Roman" w:hAnsi="Times New Roman" w:eastAsia="方正小标宋简体"/>
          <w:color w:val="auto"/>
          <w:sz w:val="44"/>
          <w:szCs w:val="44"/>
          <w:highlight w:val="none"/>
        </w:rPr>
        <w:t>水土保持方案审批准予行政许可决定书</w:t>
      </w:r>
    </w:p>
    <w:p>
      <w:pPr>
        <w:pStyle w:val="2"/>
        <w:spacing w:line="560" w:lineRule="exact"/>
        <w:rPr>
          <w:rFonts w:ascii="Times New Roman" w:hAnsi="Times New Roman" w:eastAsia="方正小标宋_GBK"/>
          <w:color w:val="auto"/>
          <w:sz w:val="44"/>
          <w:szCs w:val="44"/>
          <w:highlight w:val="none"/>
        </w:rPr>
      </w:pPr>
    </w:p>
    <w:p>
      <w:pPr>
        <w:pStyle w:val="2"/>
        <w:adjustRightInd w:val="0"/>
        <w:snapToGrid w:val="0"/>
        <w:spacing w:line="620" w:lineRule="exact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第八师石河子市交通运输事业发展中心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：</w:t>
      </w:r>
    </w:p>
    <w:p>
      <w:pPr>
        <w:adjustRightInd w:val="0"/>
        <w:snapToGrid w:val="0"/>
        <w:spacing w:line="620" w:lineRule="exact"/>
        <w:ind w:firstLine="640" w:firstLineChars="200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你单位《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关于申请审批S739线墨玉-和墨洛产业园-G580公路项目水土保持方案的函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》收悉。我局组织有关专家对该项目水土保持方案报告书进行了技术评审，提出了评审意见（详见附件）。经审查，决定准予行政许可。</w:t>
      </w:r>
    </w:p>
    <w:p>
      <w:pPr>
        <w:adjustRightInd w:val="0"/>
        <w:snapToGrid w:val="0"/>
        <w:spacing w:line="620" w:lineRule="exact"/>
        <w:ind w:firstLine="640" w:firstLineChars="200"/>
        <w:rPr>
          <w:rFonts w:ascii="Times New Roman" w:hAnsi="Times New Roman" w:eastAsia="黑体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黑体"/>
          <w:color w:val="auto"/>
          <w:sz w:val="32"/>
          <w:szCs w:val="32"/>
          <w:highlight w:val="none"/>
        </w:rPr>
        <w:t>一、水土保持方案总体意见</w:t>
      </w:r>
    </w:p>
    <w:p>
      <w:pPr>
        <w:adjustRightInd w:val="0"/>
        <w:snapToGrid w:val="0"/>
        <w:spacing w:line="620" w:lineRule="exact"/>
        <w:ind w:firstLine="480" w:firstLineChars="150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（一）基本同意水土流失防治责任范围为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97.12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公顷。</w:t>
      </w:r>
    </w:p>
    <w:p>
      <w:pPr>
        <w:adjustRightInd w:val="0"/>
        <w:snapToGrid w:val="0"/>
        <w:spacing w:line="620" w:lineRule="exact"/>
        <w:ind w:firstLine="480" w:firstLineChars="150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（二）同意水土流失防治执行北方风沙区一级标准。</w:t>
      </w:r>
    </w:p>
    <w:p>
      <w:pPr>
        <w:adjustRightInd w:val="0"/>
        <w:snapToGrid w:val="0"/>
        <w:spacing w:line="620" w:lineRule="exact"/>
        <w:ind w:firstLine="480" w:firstLineChars="150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（三）基本同意设计水平年水土流失综合防治目标为：水土流失治理度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8</w:t>
      </w:r>
      <w:r>
        <w:rPr>
          <w:rFonts w:hint="default" w:ascii="Times New Roman" w:hAnsi="Times New Roman" w:eastAsia="仿宋_GB2312"/>
          <w:color w:val="auto"/>
          <w:sz w:val="32"/>
          <w:szCs w:val="32"/>
          <w:highlight w:val="none"/>
          <w:lang w:val="en-US"/>
        </w:rPr>
        <w:t>5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%，土壤流失控制比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1.0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，渣土防护率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8</w:t>
      </w:r>
      <w:r>
        <w:rPr>
          <w:rFonts w:hint="default" w:ascii="Times New Roman" w:hAnsi="Times New Roman" w:eastAsia="仿宋_GB2312"/>
          <w:color w:val="auto"/>
          <w:sz w:val="32"/>
          <w:szCs w:val="32"/>
          <w:highlight w:val="none"/>
          <w:lang w:val="en-US"/>
        </w:rPr>
        <w:t>9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%，表土保护率</w:t>
      </w:r>
      <w:r>
        <w:rPr>
          <w:rFonts w:hint="default" w:ascii="Times New Roman" w:hAnsi="Times New Roman" w:eastAsia="仿宋_GB2312"/>
          <w:color w:val="auto"/>
          <w:sz w:val="32"/>
          <w:szCs w:val="32"/>
          <w:highlight w:val="none"/>
          <w:lang w:val="en-US"/>
        </w:rPr>
        <w:t>90%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林草植被恢复率</w:t>
      </w:r>
      <w:r>
        <w:rPr>
          <w:rFonts w:hint="default" w:ascii="Times New Roman" w:hAnsi="Times New Roman" w:eastAsia="仿宋_GB2312"/>
          <w:color w:val="auto"/>
          <w:sz w:val="32"/>
          <w:szCs w:val="32"/>
          <w:highlight w:val="none"/>
          <w:lang w:val="en-US"/>
        </w:rPr>
        <w:t>88%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林草覆盖率</w:t>
      </w:r>
      <w:r>
        <w:rPr>
          <w:rFonts w:hint="default" w:ascii="Times New Roman" w:hAnsi="Times New Roman" w:eastAsia="仿宋_GB2312"/>
          <w:color w:val="auto"/>
          <w:sz w:val="32"/>
          <w:szCs w:val="32"/>
          <w:highlight w:val="none"/>
          <w:lang w:val="en-US"/>
        </w:rPr>
        <w:t>9%</w:t>
      </w:r>
      <w:r>
        <w:rPr>
          <w:rFonts w:hint="default" w:ascii="Times New Roman" w:hAnsi="Times New Roman" w:eastAsia="仿宋_GB2312"/>
          <w:color w:val="auto"/>
          <w:sz w:val="32"/>
          <w:szCs w:val="32"/>
          <w:highlight w:val="none"/>
          <w:lang w:val="en-US"/>
        </w:rPr>
        <w:tab/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。</w:t>
      </w:r>
    </w:p>
    <w:p>
      <w:pPr>
        <w:adjustRightInd w:val="0"/>
        <w:snapToGrid w:val="0"/>
        <w:spacing w:line="620" w:lineRule="exact"/>
        <w:ind w:firstLine="480" w:firstLineChars="150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（四）基本同意水土流失防治分区及其防治措施。</w:t>
      </w:r>
    </w:p>
    <w:p>
      <w:pPr>
        <w:adjustRightInd w:val="0"/>
        <w:snapToGrid w:val="0"/>
        <w:spacing w:line="620" w:lineRule="exact"/>
        <w:ind w:firstLine="480" w:firstLineChars="150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（五）基本同意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建设期估算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水土保持补偿费为</w:t>
      </w:r>
      <w:r>
        <w:rPr>
          <w:rFonts w:hint="default" w:ascii="Times New Roman" w:hAnsi="Times New Roman" w:eastAsia="仿宋_GB2312"/>
          <w:color w:val="auto"/>
          <w:sz w:val="32"/>
          <w:szCs w:val="32"/>
          <w:highlight w:val="none"/>
          <w:lang w:val="en-US"/>
        </w:rPr>
        <w:t>77.40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万元。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水土保持补偿费实际征收额由征收部门审核确定。</w:t>
      </w:r>
    </w:p>
    <w:p>
      <w:pPr>
        <w:adjustRightInd w:val="0"/>
        <w:snapToGrid w:val="0"/>
        <w:spacing w:line="620" w:lineRule="exact"/>
        <w:ind w:firstLine="640" w:firstLineChars="200"/>
        <w:outlineLvl w:val="0"/>
        <w:rPr>
          <w:rFonts w:ascii="Times New Roman" w:hAnsi="Times New Roman" w:eastAsia="黑体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黑体"/>
          <w:color w:val="auto"/>
          <w:sz w:val="32"/>
          <w:szCs w:val="32"/>
          <w:highlight w:val="none"/>
        </w:rPr>
        <w:t>二、生产建设单位在项目建设中应全面落实《中华人民共和国水土保持法》的相关要求，并重点做好以下工作</w:t>
      </w:r>
    </w:p>
    <w:p>
      <w:pPr>
        <w:adjustRightInd w:val="0"/>
        <w:snapToGrid w:val="0"/>
        <w:spacing w:line="620" w:lineRule="exact"/>
        <w:ind w:firstLine="480" w:firstLineChars="150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（一）按照批复的水土保持方案落实资金、监测、监理、管理等保证措施，做好水土保持初步设计、施工图设计、施工组织设计，加强对施工单位的监督和管理，明确水土流失防治责任，切实落实水土保持“三同时”制度。</w:t>
      </w:r>
    </w:p>
    <w:p>
      <w:pPr>
        <w:adjustRightInd w:val="0"/>
        <w:snapToGrid w:val="0"/>
        <w:spacing w:line="620" w:lineRule="exact"/>
        <w:ind w:firstLine="480" w:firstLineChars="150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（二）严格按照批复的水土保持方案要求落实各项水土保持措施。各类施工活动要严格限定在用地范围内，严禁随意占压、扰动、破坏地表和植被；建设过程中产生的临时堆土要及时运至回填利用区域并进行防护，禁止随意倾倒；做好弃渣综合利用，建设过程中产生的弃渣要及时运至方案确定的专门场地。根据方案要求合理安排施工时序和水土保持措施实施进度，严格控制施工期间可能造成的水土流失。</w:t>
      </w:r>
    </w:p>
    <w:p>
      <w:pPr>
        <w:adjustRightInd w:val="0"/>
        <w:snapToGrid w:val="0"/>
        <w:spacing w:line="620" w:lineRule="exact"/>
        <w:ind w:firstLine="480" w:firstLineChars="150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（三）切实做好水土保持监测工作，加强建设期水土流失动态监控，并按规定向兵团水利局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、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第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十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师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昆玉市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水利局提交水土保持监测季度报告及总结报告。</w:t>
      </w:r>
    </w:p>
    <w:p>
      <w:pPr>
        <w:adjustRightInd w:val="0"/>
        <w:snapToGrid w:val="0"/>
        <w:spacing w:line="620" w:lineRule="exact"/>
        <w:ind w:firstLine="480" w:firstLineChars="150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（四）落实并做好水土保持监理工作，确保水土保持工程建设质量和进度。</w:t>
      </w:r>
    </w:p>
    <w:p>
      <w:pPr>
        <w:adjustRightInd w:val="0"/>
        <w:snapToGrid w:val="0"/>
        <w:spacing w:line="620" w:lineRule="exact"/>
        <w:ind w:firstLine="480" w:firstLineChars="150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（五）依法依规足额缴纳水土保持补偿费。</w:t>
      </w:r>
    </w:p>
    <w:p>
      <w:pPr>
        <w:adjustRightInd w:val="0"/>
        <w:snapToGrid w:val="0"/>
        <w:spacing w:line="620" w:lineRule="exact"/>
        <w:ind w:firstLine="640" w:firstLineChars="200"/>
        <w:rPr>
          <w:rFonts w:ascii="Times New Roman" w:hAnsi="Times New Roman" w:eastAsia="黑体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黑体"/>
          <w:color w:val="auto"/>
          <w:sz w:val="32"/>
          <w:szCs w:val="32"/>
          <w:highlight w:val="none"/>
        </w:rPr>
        <w:t>三、水土保持方案变更有关要求</w:t>
      </w:r>
    </w:p>
    <w:p>
      <w:pPr>
        <w:adjustRightInd w:val="0"/>
        <w:snapToGrid w:val="0"/>
        <w:spacing w:line="620" w:lineRule="exact"/>
        <w:ind w:firstLine="480" w:firstLineChars="150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（一）本项目的建设地点、规模如发生重大变化，或者水土保持方案实施过程中水土保持措施发生重大变更，建设单位应及时补充或者修改水土保持方案，报我局审批。</w:t>
      </w:r>
    </w:p>
    <w:p>
      <w:pPr>
        <w:adjustRightInd w:val="0"/>
        <w:snapToGrid w:val="0"/>
        <w:spacing w:line="620" w:lineRule="exact"/>
        <w:ind w:firstLine="480" w:firstLineChars="150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（二）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需要新设弃渣场的，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应当开展弃渣减量化、资源化论证，并在弃渣前编制水土保持方案补充报告，报我局审批。</w:t>
      </w:r>
    </w:p>
    <w:p>
      <w:pPr>
        <w:adjustRightInd w:val="0"/>
        <w:snapToGrid w:val="0"/>
        <w:spacing w:line="620" w:lineRule="exact"/>
        <w:ind w:firstLine="640" w:firstLineChars="200"/>
        <w:rPr>
          <w:rFonts w:ascii="Times New Roman" w:hAnsi="Times New Roman" w:eastAsia="黑体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黑体"/>
          <w:color w:val="auto"/>
          <w:sz w:val="32"/>
          <w:szCs w:val="32"/>
          <w:highlight w:val="none"/>
        </w:rPr>
        <w:t>四、其他</w:t>
      </w:r>
    </w:p>
    <w:p>
      <w:pPr>
        <w:adjustRightInd w:val="0"/>
        <w:snapToGrid w:val="0"/>
        <w:spacing w:line="620" w:lineRule="exact"/>
        <w:ind w:firstLine="640" w:firstLineChars="200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（一）本项目在竣工验收或投产使用前应通过水土保持设施自主验收；生产建设单位应当在水土保持设施自主验收通过后3个月内，向我局报备水土保持设施验收材料。水土保持设施未经验收或者验收不合格的，生产建设项目不得投产使用。</w:t>
      </w:r>
    </w:p>
    <w:p>
      <w:pPr>
        <w:adjustRightInd w:val="0"/>
        <w:snapToGrid w:val="0"/>
        <w:spacing w:line="620" w:lineRule="exact"/>
        <w:ind w:firstLine="640" w:firstLineChars="200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（二）本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许可文件自批准之日起有效期限3年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。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在许可文件有效期内未开工建设的，生产建设单位应在许可文件有效期满的30个工作日之前向我局申请重新审核。项目在许可文件有效期内未开工建设的，或虽提出重新审核申请但未批准的，本许可文件自动失效。</w:t>
      </w:r>
    </w:p>
    <w:p>
      <w:pPr>
        <w:rPr>
          <w:rFonts w:hint="eastAsia"/>
        </w:rPr>
      </w:pPr>
      <w:r>
        <w:rPr>
          <w:rFonts w:hint="eastAsia"/>
        </w:rPr>
        <w:br w:type="page"/>
      </w:r>
    </w:p>
    <w:p>
      <w:pPr>
        <w:spacing w:line="560" w:lineRule="exact"/>
        <w:rPr>
          <w:rFonts w:ascii="Times New Roman" w:hAnsi="Times New Roman" w:eastAsia="方正小标宋_GBK"/>
          <w:color w:val="auto"/>
          <w:sz w:val="44"/>
          <w:szCs w:val="44"/>
          <w:highlight w:val="none"/>
        </w:rPr>
      </w:pPr>
    </w:p>
    <w:p>
      <w:pPr>
        <w:spacing w:line="560" w:lineRule="exact"/>
        <w:jc w:val="center"/>
        <w:rPr>
          <w:rFonts w:hint="eastAsia" w:ascii="Times New Roman" w:hAnsi="Times New Roman" w:eastAsia="方正小标宋简体"/>
          <w:color w:val="auto"/>
          <w:sz w:val="44"/>
          <w:szCs w:val="44"/>
          <w:highlight w:val="none"/>
        </w:rPr>
      </w:pPr>
      <w:r>
        <w:rPr>
          <w:rFonts w:hint="eastAsia" w:ascii="Times New Roman" w:hAnsi="Times New Roman" w:eastAsia="方正小标宋简体"/>
          <w:color w:val="auto"/>
          <w:sz w:val="44"/>
          <w:szCs w:val="44"/>
          <w:highlight w:val="none"/>
        </w:rPr>
        <w:t>G217阿拉尔至图木舒克公路</w:t>
      </w:r>
    </w:p>
    <w:p>
      <w:pPr>
        <w:spacing w:line="560" w:lineRule="exact"/>
        <w:jc w:val="center"/>
        <w:rPr>
          <w:rFonts w:ascii="Times New Roman" w:hAnsi="Times New Roman" w:eastAsia="方正小标宋简体"/>
          <w:color w:val="auto"/>
          <w:sz w:val="44"/>
          <w:szCs w:val="44"/>
          <w:highlight w:val="none"/>
        </w:rPr>
      </w:pPr>
      <w:r>
        <w:rPr>
          <w:rFonts w:ascii="Times New Roman" w:hAnsi="Times New Roman" w:eastAsia="方正小标宋简体"/>
          <w:color w:val="auto"/>
          <w:sz w:val="44"/>
          <w:szCs w:val="44"/>
          <w:highlight w:val="none"/>
        </w:rPr>
        <w:t>水土保持方案审批准予行政许可决定书</w:t>
      </w:r>
    </w:p>
    <w:p>
      <w:pPr>
        <w:pStyle w:val="2"/>
        <w:spacing w:line="560" w:lineRule="exact"/>
        <w:rPr>
          <w:rFonts w:ascii="Times New Roman" w:hAnsi="Times New Roman" w:eastAsia="方正小标宋_GBK"/>
          <w:color w:val="auto"/>
          <w:sz w:val="44"/>
          <w:szCs w:val="44"/>
          <w:highlight w:val="none"/>
        </w:rPr>
      </w:pPr>
    </w:p>
    <w:p>
      <w:pPr>
        <w:pStyle w:val="2"/>
        <w:adjustRightInd w:val="0"/>
        <w:snapToGrid w:val="0"/>
        <w:spacing w:line="620" w:lineRule="exact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新疆生产建设兵团第一师交通运输事业发展中心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：</w:t>
      </w:r>
    </w:p>
    <w:p>
      <w:pPr>
        <w:adjustRightInd w:val="0"/>
        <w:snapToGrid w:val="0"/>
        <w:spacing w:line="620" w:lineRule="exact"/>
        <w:ind w:firstLine="640" w:firstLineChars="200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你单位《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关于申请审批G217阿拉尔至图木舒克公路水土保持方案的请示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》收悉。我局组织有关专家对该项目水土保持方案报告书进行了技术评审，提出了评审意见（详见附件）。经审查，决定准予行政许可。</w:t>
      </w:r>
    </w:p>
    <w:p>
      <w:pPr>
        <w:adjustRightInd w:val="0"/>
        <w:snapToGrid w:val="0"/>
        <w:spacing w:line="620" w:lineRule="exact"/>
        <w:ind w:firstLine="640" w:firstLineChars="200"/>
        <w:rPr>
          <w:rFonts w:ascii="Times New Roman" w:hAnsi="Times New Roman" w:eastAsia="黑体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黑体"/>
          <w:color w:val="auto"/>
          <w:sz w:val="32"/>
          <w:szCs w:val="32"/>
          <w:highlight w:val="none"/>
        </w:rPr>
        <w:t>一、水土保持方案总体意见</w:t>
      </w:r>
    </w:p>
    <w:p>
      <w:pPr>
        <w:adjustRightInd w:val="0"/>
        <w:snapToGrid w:val="0"/>
        <w:spacing w:line="620" w:lineRule="exact"/>
        <w:ind w:firstLine="480" w:firstLineChars="150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（一）基本同意水土流失防治责任范围为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843.3</w:t>
      </w:r>
      <w:r>
        <w:rPr>
          <w:rFonts w:hint="default" w:ascii="Times New Roman" w:hAnsi="Times New Roman" w:eastAsia="仿宋_GB2312"/>
          <w:color w:val="auto"/>
          <w:sz w:val="32"/>
          <w:szCs w:val="32"/>
          <w:highlight w:val="none"/>
          <w:lang w:val="en-US"/>
        </w:rPr>
        <w:t>0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公顷。</w:t>
      </w:r>
    </w:p>
    <w:p>
      <w:pPr>
        <w:adjustRightInd w:val="0"/>
        <w:snapToGrid w:val="0"/>
        <w:spacing w:line="620" w:lineRule="exact"/>
        <w:ind w:firstLine="480" w:firstLineChars="150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（二）同意水土流失防治执行北方风沙区一级标准。</w:t>
      </w:r>
    </w:p>
    <w:p>
      <w:pPr>
        <w:adjustRightInd w:val="0"/>
        <w:snapToGrid w:val="0"/>
        <w:spacing w:line="620" w:lineRule="exact"/>
        <w:ind w:firstLine="480" w:firstLineChars="150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（三）基本同意设计水平年水土流失综合防治目标为：水土流失治理度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80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%，土壤流失控制比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1.0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，渣土防护率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87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%，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表土保护率90%，林草植被恢复率88%，林草覆盖率5%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。</w:t>
      </w:r>
    </w:p>
    <w:p>
      <w:pPr>
        <w:adjustRightInd w:val="0"/>
        <w:snapToGrid w:val="0"/>
        <w:spacing w:line="620" w:lineRule="exact"/>
        <w:ind w:firstLine="480" w:firstLineChars="150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（四）基本同意水土流失防治分区及其防治措施。</w:t>
      </w:r>
    </w:p>
    <w:p>
      <w:pPr>
        <w:adjustRightInd w:val="0"/>
        <w:snapToGrid w:val="0"/>
        <w:spacing w:line="620" w:lineRule="exact"/>
        <w:ind w:firstLine="480" w:firstLineChars="150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（五）基本同意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建设期估算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水土保持补偿费为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706.21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万元。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水土保持补偿费实际征收额由征收部门审核确定。</w:t>
      </w:r>
    </w:p>
    <w:p>
      <w:pPr>
        <w:adjustRightInd w:val="0"/>
        <w:snapToGrid w:val="0"/>
        <w:spacing w:line="620" w:lineRule="exact"/>
        <w:ind w:firstLine="640" w:firstLineChars="200"/>
        <w:outlineLvl w:val="0"/>
        <w:rPr>
          <w:rFonts w:ascii="Times New Roman" w:hAnsi="Times New Roman" w:eastAsia="黑体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黑体"/>
          <w:color w:val="auto"/>
          <w:sz w:val="32"/>
          <w:szCs w:val="32"/>
          <w:highlight w:val="none"/>
        </w:rPr>
        <w:t>二、生产建设单位在项目建设中应全面落实《中华人民共和国水土保持法》的相关要求，并重点做好以下工作</w:t>
      </w:r>
    </w:p>
    <w:p>
      <w:pPr>
        <w:adjustRightInd w:val="0"/>
        <w:snapToGrid w:val="0"/>
        <w:spacing w:line="620" w:lineRule="exact"/>
        <w:ind w:firstLine="480" w:firstLineChars="150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（一）按照批复的水土保持方案落实资金、监测、监理、管理等保证措施，做好水土保持初步设计、施工图设计、施工组织设计，加强对施工单位的监督和管理，明确水土流失防治责任，切实落实水土保持“三同时”制度。</w:t>
      </w:r>
    </w:p>
    <w:p>
      <w:pPr>
        <w:adjustRightInd w:val="0"/>
        <w:snapToGrid w:val="0"/>
        <w:spacing w:line="620" w:lineRule="exact"/>
        <w:ind w:firstLine="480" w:firstLineChars="150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（二）严格按照批复的水土保持方案要求落实各项水土保持措施。各类施工活动要严格限定在用地范围内，严禁随意占压、扰动、破坏地表和植被；建设过程中产生的临时堆土要及时运至回填利用区域并进行防护，禁止随意倾倒；做好弃渣综合利用，建设过程中产生的弃渣要及时运至方案确定的专门场地。根据方案要求合理安排施工时序和水土保持措施实施进度，严格控制施工期间可能造成的水土流失。</w:t>
      </w:r>
    </w:p>
    <w:p>
      <w:pPr>
        <w:adjustRightInd w:val="0"/>
        <w:snapToGrid w:val="0"/>
        <w:spacing w:line="620" w:lineRule="exact"/>
        <w:ind w:firstLine="480" w:firstLineChars="150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（三）切实做好水土保持监测工作，加强建设期水土流失动态监控，并按规定向兵团水利局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、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第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一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师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阿拉尔市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水利局提交水土保持监测季度报告及总结报告。</w:t>
      </w:r>
    </w:p>
    <w:p>
      <w:pPr>
        <w:adjustRightInd w:val="0"/>
        <w:snapToGrid w:val="0"/>
        <w:spacing w:line="620" w:lineRule="exact"/>
        <w:ind w:firstLine="480" w:firstLineChars="150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（四）落实并做好水土保持监理工作，确保水土保持工程建设质量和进度。</w:t>
      </w:r>
    </w:p>
    <w:p>
      <w:pPr>
        <w:adjustRightInd w:val="0"/>
        <w:snapToGrid w:val="0"/>
        <w:spacing w:line="620" w:lineRule="exact"/>
        <w:ind w:firstLine="480" w:firstLineChars="150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（五）依法依规足额缴纳水土保持补偿费。</w:t>
      </w:r>
    </w:p>
    <w:p>
      <w:pPr>
        <w:adjustRightInd w:val="0"/>
        <w:snapToGrid w:val="0"/>
        <w:spacing w:line="620" w:lineRule="exact"/>
        <w:ind w:firstLine="640" w:firstLineChars="200"/>
        <w:rPr>
          <w:rFonts w:ascii="Times New Roman" w:hAnsi="Times New Roman" w:eastAsia="黑体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黑体"/>
          <w:color w:val="auto"/>
          <w:sz w:val="32"/>
          <w:szCs w:val="32"/>
          <w:highlight w:val="none"/>
        </w:rPr>
        <w:t>三、水土保持方案变更有关要求</w:t>
      </w:r>
    </w:p>
    <w:p>
      <w:pPr>
        <w:adjustRightInd w:val="0"/>
        <w:snapToGrid w:val="0"/>
        <w:spacing w:line="620" w:lineRule="exact"/>
        <w:ind w:firstLine="480" w:firstLineChars="150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（一）本项目的建设地点、规模如发生重大变化，或者水土保持方案实施过程中水土保持措施发生重大变更，建设单位应及时补充或者修改水土保持方案，报我局审批。</w:t>
      </w:r>
    </w:p>
    <w:p>
      <w:pPr>
        <w:adjustRightInd w:val="0"/>
        <w:snapToGrid w:val="0"/>
        <w:spacing w:line="620" w:lineRule="exact"/>
        <w:ind w:firstLine="480" w:firstLineChars="150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（二）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需要新设弃渣场的，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应当开展弃渣减量化、资源化论证，并在弃渣前编制水土保持方案补充报告，报我局审批。</w:t>
      </w:r>
    </w:p>
    <w:p>
      <w:pPr>
        <w:adjustRightInd w:val="0"/>
        <w:snapToGrid w:val="0"/>
        <w:spacing w:line="620" w:lineRule="exact"/>
        <w:ind w:firstLine="640" w:firstLineChars="200"/>
        <w:rPr>
          <w:rFonts w:ascii="Times New Roman" w:hAnsi="Times New Roman" w:eastAsia="黑体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黑体"/>
          <w:color w:val="auto"/>
          <w:sz w:val="32"/>
          <w:szCs w:val="32"/>
          <w:highlight w:val="none"/>
        </w:rPr>
        <w:t>四、其他</w:t>
      </w:r>
    </w:p>
    <w:p>
      <w:pPr>
        <w:adjustRightInd w:val="0"/>
        <w:snapToGrid w:val="0"/>
        <w:spacing w:line="620" w:lineRule="exact"/>
        <w:ind w:firstLine="640" w:firstLineChars="200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（一）本项目在竣工验收或投产使用前应通过水土保持设施自主验收；生产建设单位应当在水土保持设施自主验收通过后3个月内，向我局报备水土保持设施验收材料。水土保持设施未经验收或者验收不合格的，生产建设项目不得投产使用。</w:t>
      </w:r>
    </w:p>
    <w:p>
      <w:pPr>
        <w:adjustRightInd w:val="0"/>
        <w:snapToGrid w:val="0"/>
        <w:spacing w:line="620" w:lineRule="exact"/>
        <w:ind w:firstLine="640" w:firstLineChars="200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（二）本项目存在违反《中华人民共和国水土保持法》第二十六条的规定，水土保持方案未经批准而开工建设的行为。生产建设单位要深刻吸取教训，严格执行水土保持法律法规，杜绝此类行为再次发生。</w:t>
      </w:r>
    </w:p>
    <w:p>
      <w:pPr>
        <w:adjustRightInd w:val="0"/>
        <w:snapToGrid w:val="0"/>
        <w:spacing w:line="620" w:lineRule="exact"/>
        <w:ind w:firstLine="640" w:firstLineChars="200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（三）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本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许可文件自批准之日起有效期限3年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。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在许可文件有效期内未开工建设的，生产建设单位应在许可文件有效期满的30个工作日之前向我局申请重新审核。项目在许可文件有效期内未开工建设的，或虽提出重新审核申请但未批准的，本许可文件自动失效。</w:t>
      </w:r>
    </w:p>
    <w:p>
      <w:pPr>
        <w:pStyle w:val="2"/>
        <w:rPr>
          <w:rFonts w:hint="eastAsia"/>
        </w:rPr>
      </w:pPr>
      <w:bookmarkStart w:id="0" w:name="_GoBack"/>
      <w:bookmarkEnd w:id="0"/>
    </w:p>
    <w:sectPr>
      <w:footerReference r:id="rId3" w:type="default"/>
      <w:pgSz w:w="11906" w:h="16838"/>
      <w:pgMar w:top="2098" w:right="1531" w:bottom="1531" w:left="1531" w:header="851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tabs>
        <w:tab w:val="center" w:pos="4153"/>
        <w:tab w:val="right" w:pos="8306"/>
      </w:tabs>
      <w:snapToGrid w:val="0"/>
      <w:spacing w:beforeAutospacing="0" w:afterAutospacing="0"/>
      <w:jc w:val="right"/>
    </w:pPr>
  </w:p>
  <w:sdt>
    <w:sdtPr>
      <w:rPr>
        <w:rFonts w:cstheme="minorBidi"/>
        <w:kern w:val="2"/>
        <w:sz w:val="18"/>
        <w:szCs w:val="18"/>
      </w:rPr>
      <w:id w:val="15039671"/>
    </w:sdtPr>
    <w:sdtEndPr>
      <w:rPr>
        <w:rFonts w:hint="eastAsia" w:ascii="仿宋_GB2312" w:eastAsia="仿宋_GB2312" w:cstheme="minorBidi"/>
        <w:kern w:val="2"/>
        <w:sz w:val="32"/>
        <w:szCs w:val="32"/>
      </w:rPr>
    </w:sdtEndPr>
    <w:sdtContent>
      <w:p>
        <w:pPr>
          <w:pStyle w:val="12"/>
          <w:tabs>
            <w:tab w:val="center" w:pos="4153"/>
            <w:tab w:val="right" w:pos="8306"/>
          </w:tabs>
          <w:snapToGrid w:val="0"/>
          <w:spacing w:beforeAutospacing="0" w:afterAutospacing="0"/>
          <w:jc w:val="right"/>
          <w:rPr>
            <w:rFonts w:ascii="宋体" w:hAnsi="宋体" w:cs="宋体"/>
            <w:sz w:val="28"/>
            <w:szCs w:val="28"/>
          </w:rPr>
        </w:pPr>
        <w:r>
          <mc:AlternateContent>
            <mc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0</wp:posOffset>
                  </wp:positionH>
                  <wp:positionV relativeFrom="paragraph">
                    <wp:posOffset>89535</wp:posOffset>
                  </wp:positionV>
                  <wp:extent cx="952500" cy="656590"/>
                  <wp:effectExtent l="0" t="0" r="0" b="0"/>
                  <wp:wrapNone/>
                  <wp:docPr id="3" name="文本框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952500" cy="6565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"/>
                                <w:rPr>
                                  <w:rFonts w:asciiTheme="minorEastAsia" w:hAnsiTheme="minorEastAsia" w:eastAsiaTheme="minorEastAsia" w:cstheme="minorEastAsia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sz w:val="30"/>
                                  <w:szCs w:val="30"/>
                                </w:rPr>
                                <w:t xml:space="preserve">— </w:t>
                              </w:r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sz w:val="30"/>
                                  <w:szCs w:val="30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sz w:val="30"/>
                                  <w:szCs w:val="30"/>
                                </w:rPr>
                                <w:instrText xml:space="preserve"> PAGE  \* MERGEFORMAT </w:instrText>
                              </w:r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sz w:val="30"/>
                                  <w:szCs w:val="30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inorEastAsia" w:hAnsiTheme="minorEastAsia" w:eastAsiaTheme="minorEastAsia" w:cstheme="minorEastAsia"/>
                                  <w:sz w:val="30"/>
                                  <w:szCs w:val="30"/>
                                </w:rPr>
                                <w:t>2</w:t>
                              </w:r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sz w:val="30"/>
                                  <w:szCs w:val="30"/>
                                </w:rPr>
                                <w:fldChar w:fldCharType="end"/>
                              </w:r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sz w:val="30"/>
                                  <w:szCs w:val="30"/>
                                </w:rPr>
                                <w:t xml:space="preserve"> —</w:t>
                              </w:r>
                            </w:p>
                            <w:p/>
                          </w:txbxContent>
                        </wps:txbx>
                        <wps:bodyPr lIns="0" tIns="0" rIns="0" bIns="0" upright="1"/>
                      </wps:wsp>
                    </a:graphicData>
                  </a:graphic>
                </wp:anchor>
              </w:drawing>
            </mc:Choice>
            <mc:Fallback>
              <w:pict>
                <v:shape id="文本框 1" o:spid="_x0000_s1026" o:spt="202" type="#_x0000_t202" style="position:absolute;left:0pt;margin-left:0pt;margin-top:7.05pt;height:51.7pt;width:75pt;mso-position-horizontal-relative:margin;z-index:251659264;mso-width-relative:page;mso-height-relative:page;" filled="f" stroked="f" coordsize="21600,21600" o:gfxdata="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IMyJbLUAAAABwEAAA8AAAAAAAAAAQAgAAAAIgAAAGRycy9kb3ducmV2LnhtbFBL&#10;AQIUABQAAAAIAIdO4kCJ2oTawQEAAHoDAAAOAAAAAAAAAAEAIAAAACMBAABkcnMvZTJvRG9jLnht&#10;bFBLBQYAAAAABgAGAFkBAABWBQAAAAA=&#10;">
                  <v:fill on="f" focussize="0,0"/>
                  <v:stroke on="f" weight="0.5pt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pStyle w:val="8"/>
                          <w:rPr>
                            <w:rFonts w:asciiTheme="minorEastAsia" w:hAnsiTheme="minorEastAsia" w:eastAsiaTheme="minorEastAsia" w:cstheme="minorEastAsia"/>
                            <w:sz w:val="30"/>
                            <w:szCs w:val="30"/>
                          </w:rPr>
                        </w:pPr>
                        <w:r>
                          <w:rPr>
                            <w:rFonts w:hint="eastAsia" w:asciiTheme="minorEastAsia" w:hAnsiTheme="minorEastAsia" w:eastAsiaTheme="minorEastAsia" w:cstheme="minorEastAsia"/>
                            <w:sz w:val="30"/>
                            <w:szCs w:val="30"/>
                          </w:rPr>
                          <w:t xml:space="preserve">— </w:t>
                        </w:r>
                        <w:r>
                          <w:rPr>
                            <w:rFonts w:hint="eastAsia" w:asciiTheme="minorEastAsia" w:hAnsiTheme="minorEastAsia" w:eastAsiaTheme="minorEastAsia" w:cstheme="minorEastAsia"/>
                            <w:sz w:val="30"/>
                            <w:szCs w:val="30"/>
                          </w:rPr>
                          <w:fldChar w:fldCharType="begin"/>
                        </w:r>
                        <w:r>
                          <w:rPr>
                            <w:rFonts w:hint="eastAsia" w:asciiTheme="minorEastAsia" w:hAnsiTheme="minorEastAsia" w:eastAsiaTheme="minorEastAsia" w:cstheme="minorEastAsia"/>
                            <w:sz w:val="30"/>
                            <w:szCs w:val="30"/>
                          </w:rPr>
                          <w:instrText xml:space="preserve"> PAGE  \* MERGEFORMAT </w:instrText>
                        </w:r>
                        <w:r>
                          <w:rPr>
                            <w:rFonts w:hint="eastAsia" w:asciiTheme="minorEastAsia" w:hAnsiTheme="minorEastAsia" w:eastAsiaTheme="minorEastAsia" w:cstheme="minorEastAsia"/>
                            <w:sz w:val="30"/>
                            <w:szCs w:val="30"/>
                          </w:rPr>
                          <w:fldChar w:fldCharType="separate"/>
                        </w:r>
                        <w:r>
                          <w:rPr>
                            <w:rFonts w:asciiTheme="minorEastAsia" w:hAnsiTheme="minorEastAsia" w:eastAsiaTheme="minorEastAsia" w:cstheme="minorEastAsia"/>
                            <w:sz w:val="30"/>
                            <w:szCs w:val="30"/>
                          </w:rPr>
                          <w:t>2</w:t>
                        </w:r>
                        <w:r>
                          <w:rPr>
                            <w:rFonts w:hint="eastAsia" w:asciiTheme="minorEastAsia" w:hAnsiTheme="minorEastAsia" w:eastAsiaTheme="minorEastAsia" w:cstheme="minorEastAsia"/>
                            <w:sz w:val="30"/>
                            <w:szCs w:val="30"/>
                          </w:rPr>
                          <w:fldChar w:fldCharType="end"/>
                        </w:r>
                        <w:r>
                          <w:rPr>
                            <w:rFonts w:hint="eastAsia" w:asciiTheme="minorEastAsia" w:hAnsiTheme="minorEastAsia" w:eastAsiaTheme="minorEastAsia" w:cstheme="minorEastAsia"/>
                            <w:sz w:val="30"/>
                            <w:szCs w:val="30"/>
                          </w:rPr>
                          <w:t xml:space="preserve"> —</w:t>
                        </w:r>
                      </w:p>
                      <w:p/>
                    </w:txbxContent>
                  </v:textbox>
                </v:shape>
              </w:pict>
            </mc:Fallback>
          </mc:AlternateContent>
        </w:r>
      </w:p>
      <w:p>
        <w:pPr>
          <w:pStyle w:val="8"/>
          <w:tabs>
            <w:tab w:val="left" w:pos="8195"/>
            <w:tab w:val="right" w:pos="8964"/>
          </w:tabs>
          <w:rPr>
            <w:rFonts w:ascii="仿宋_GB2312" w:eastAsia="仿宋_GB2312"/>
            <w:sz w:val="32"/>
            <w:szCs w:val="32"/>
          </w:rPr>
        </w:pPr>
        <w:r>
          <w:rPr>
            <w:rFonts w:hint="eastAsia" w:ascii="仿宋_GB2312" w:eastAsia="仿宋_GB2312"/>
            <w:sz w:val="32"/>
            <w:szCs w:val="32"/>
          </w:rPr>
          <w:tab/>
        </w:r>
        <w:r>
          <w:rPr>
            <w:rFonts w:hint="eastAsia" w:ascii="仿宋_GB2312" w:eastAsia="仿宋_GB2312"/>
            <w:sz w:val="32"/>
            <w:szCs w:val="32"/>
          </w:rPr>
          <w:tab/>
        </w:r>
        <w:r>
          <w:rPr>
            <w:rFonts w:hint="eastAsia" w:ascii="仿宋_GB2312" w:eastAsia="仿宋_GB2312"/>
            <w:sz w:val="32"/>
            <w:szCs w:val="32"/>
          </w:rPr>
          <w:tab/>
        </w:r>
        <w:r>
          <w:rPr>
            <w:rFonts w:hint="eastAsia" w:ascii="仿宋_GB2312" w:eastAsia="仿宋_GB2312"/>
            <w:sz w:val="32"/>
            <w:szCs w:val="32"/>
          </w:rPr>
          <w:tab/>
        </w:r>
      </w:p>
    </w:sdtContent>
  </w:sdt>
  <w:p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bordersDoNotSurroundHeader w:val="1"/>
  <w:bordersDoNotSurroundFooter w:val="1"/>
  <w:documentProtection w:enforcement="0"/>
  <w:defaultTabStop w:val="420"/>
  <w:drawingGridHorizontalSpacing w:val="105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A39"/>
    <w:rsid w:val="00060A39"/>
    <w:rsid w:val="000726F1"/>
    <w:rsid w:val="000B17B2"/>
    <w:rsid w:val="0011706B"/>
    <w:rsid w:val="00136878"/>
    <w:rsid w:val="00160A10"/>
    <w:rsid w:val="00165834"/>
    <w:rsid w:val="001948C1"/>
    <w:rsid w:val="001F376E"/>
    <w:rsid w:val="00210EAC"/>
    <w:rsid w:val="00281AF0"/>
    <w:rsid w:val="002952DD"/>
    <w:rsid w:val="002C55B2"/>
    <w:rsid w:val="0031045D"/>
    <w:rsid w:val="00357C57"/>
    <w:rsid w:val="0037447F"/>
    <w:rsid w:val="003E1369"/>
    <w:rsid w:val="005D009A"/>
    <w:rsid w:val="005D556E"/>
    <w:rsid w:val="005E53FF"/>
    <w:rsid w:val="00657832"/>
    <w:rsid w:val="006C74FD"/>
    <w:rsid w:val="006E7DC8"/>
    <w:rsid w:val="00815B8A"/>
    <w:rsid w:val="00955E00"/>
    <w:rsid w:val="00A4712E"/>
    <w:rsid w:val="00A5696F"/>
    <w:rsid w:val="00AA65BE"/>
    <w:rsid w:val="00B34820"/>
    <w:rsid w:val="00BA41BF"/>
    <w:rsid w:val="00BB49DF"/>
    <w:rsid w:val="00BE67BE"/>
    <w:rsid w:val="00C25F27"/>
    <w:rsid w:val="00C43E6C"/>
    <w:rsid w:val="00CB4B72"/>
    <w:rsid w:val="00DD5AD2"/>
    <w:rsid w:val="00DE0EFE"/>
    <w:rsid w:val="00E15523"/>
    <w:rsid w:val="00E23466"/>
    <w:rsid w:val="00E81B3A"/>
    <w:rsid w:val="00EE5380"/>
    <w:rsid w:val="00F01978"/>
    <w:rsid w:val="00F1049F"/>
    <w:rsid w:val="00FC6414"/>
    <w:rsid w:val="00FD48AC"/>
    <w:rsid w:val="0510353A"/>
    <w:rsid w:val="077603E9"/>
    <w:rsid w:val="08F5CB51"/>
    <w:rsid w:val="09E246B4"/>
    <w:rsid w:val="0C9408D6"/>
    <w:rsid w:val="0D15DD02"/>
    <w:rsid w:val="10AA654C"/>
    <w:rsid w:val="1518078B"/>
    <w:rsid w:val="15B7C1E5"/>
    <w:rsid w:val="15D05B62"/>
    <w:rsid w:val="16A7B22E"/>
    <w:rsid w:val="177F418F"/>
    <w:rsid w:val="1AF30543"/>
    <w:rsid w:val="1C5273EB"/>
    <w:rsid w:val="1FEFBAEE"/>
    <w:rsid w:val="1FF55B5E"/>
    <w:rsid w:val="1FFFE1A3"/>
    <w:rsid w:val="25BF3C5F"/>
    <w:rsid w:val="276FAD9F"/>
    <w:rsid w:val="277F14E3"/>
    <w:rsid w:val="2BBDE951"/>
    <w:rsid w:val="2BCD93D9"/>
    <w:rsid w:val="2CC26B9B"/>
    <w:rsid w:val="2CE7C142"/>
    <w:rsid w:val="2D767329"/>
    <w:rsid w:val="2DFF7458"/>
    <w:rsid w:val="357EA35C"/>
    <w:rsid w:val="36C59992"/>
    <w:rsid w:val="3773D0FF"/>
    <w:rsid w:val="37ABC545"/>
    <w:rsid w:val="37AD6DEE"/>
    <w:rsid w:val="37C7E579"/>
    <w:rsid w:val="39F7445B"/>
    <w:rsid w:val="3D0F04DD"/>
    <w:rsid w:val="3D9CC7F5"/>
    <w:rsid w:val="3DFEE8AC"/>
    <w:rsid w:val="3EABF476"/>
    <w:rsid w:val="3ED14E04"/>
    <w:rsid w:val="3F6B4BF2"/>
    <w:rsid w:val="3FB12261"/>
    <w:rsid w:val="3FBB81E0"/>
    <w:rsid w:val="3FD78C21"/>
    <w:rsid w:val="3FFF927D"/>
    <w:rsid w:val="4191042A"/>
    <w:rsid w:val="42DA6169"/>
    <w:rsid w:val="47C42E82"/>
    <w:rsid w:val="47F3D39B"/>
    <w:rsid w:val="497D089F"/>
    <w:rsid w:val="4AEFBFC3"/>
    <w:rsid w:val="4B7F743F"/>
    <w:rsid w:val="4DCB5500"/>
    <w:rsid w:val="511A2846"/>
    <w:rsid w:val="54714FEC"/>
    <w:rsid w:val="567F31C3"/>
    <w:rsid w:val="56CE221F"/>
    <w:rsid w:val="56EF67A3"/>
    <w:rsid w:val="56FB7AF7"/>
    <w:rsid w:val="56FECD8E"/>
    <w:rsid w:val="57DD7250"/>
    <w:rsid w:val="57E541FD"/>
    <w:rsid w:val="59B966A2"/>
    <w:rsid w:val="59F781D1"/>
    <w:rsid w:val="5ADF5359"/>
    <w:rsid w:val="5AFD54DC"/>
    <w:rsid w:val="5C3749EC"/>
    <w:rsid w:val="5DBE403E"/>
    <w:rsid w:val="5DF52427"/>
    <w:rsid w:val="5DFF6426"/>
    <w:rsid w:val="5DFFF839"/>
    <w:rsid w:val="5E5B6160"/>
    <w:rsid w:val="5E7FCD46"/>
    <w:rsid w:val="5F7E79F7"/>
    <w:rsid w:val="5F7F6801"/>
    <w:rsid w:val="5FAB16C4"/>
    <w:rsid w:val="5FE9058A"/>
    <w:rsid w:val="5FF506EF"/>
    <w:rsid w:val="5FFB2637"/>
    <w:rsid w:val="5FFB445D"/>
    <w:rsid w:val="5FFBB8D1"/>
    <w:rsid w:val="5FFDADC6"/>
    <w:rsid w:val="61EF97A7"/>
    <w:rsid w:val="63316596"/>
    <w:rsid w:val="63BDCC9E"/>
    <w:rsid w:val="65BEFB48"/>
    <w:rsid w:val="65EF9FAB"/>
    <w:rsid w:val="65F30E6C"/>
    <w:rsid w:val="6609EA31"/>
    <w:rsid w:val="66FD2DAD"/>
    <w:rsid w:val="67FF897C"/>
    <w:rsid w:val="68FF652B"/>
    <w:rsid w:val="69F90F7B"/>
    <w:rsid w:val="6ABF1D35"/>
    <w:rsid w:val="6ADECD1D"/>
    <w:rsid w:val="6BBAAE52"/>
    <w:rsid w:val="6BC689E4"/>
    <w:rsid w:val="6CBD5BBC"/>
    <w:rsid w:val="6CFF7D0C"/>
    <w:rsid w:val="6D5F841C"/>
    <w:rsid w:val="6D7DDA2B"/>
    <w:rsid w:val="6DF36B34"/>
    <w:rsid w:val="6ECE4282"/>
    <w:rsid w:val="6F333984"/>
    <w:rsid w:val="6FBDBB08"/>
    <w:rsid w:val="6FDF1581"/>
    <w:rsid w:val="6FDFCCDC"/>
    <w:rsid w:val="6FF961CF"/>
    <w:rsid w:val="6FFFD509"/>
    <w:rsid w:val="71FA341B"/>
    <w:rsid w:val="72F533E9"/>
    <w:rsid w:val="73CB5CC4"/>
    <w:rsid w:val="73EF7612"/>
    <w:rsid w:val="73FF6B33"/>
    <w:rsid w:val="747CB5D5"/>
    <w:rsid w:val="754F5E2F"/>
    <w:rsid w:val="757F0E8B"/>
    <w:rsid w:val="762D9FAC"/>
    <w:rsid w:val="767F4092"/>
    <w:rsid w:val="76B75B88"/>
    <w:rsid w:val="76EFBA82"/>
    <w:rsid w:val="76FD9640"/>
    <w:rsid w:val="773D781D"/>
    <w:rsid w:val="779C5972"/>
    <w:rsid w:val="779DA164"/>
    <w:rsid w:val="77BE7569"/>
    <w:rsid w:val="77FF2DC6"/>
    <w:rsid w:val="77FF4CDA"/>
    <w:rsid w:val="7873A8B8"/>
    <w:rsid w:val="79CF3861"/>
    <w:rsid w:val="7A928D84"/>
    <w:rsid w:val="7AFF0BB2"/>
    <w:rsid w:val="7B5D6AA8"/>
    <w:rsid w:val="7BB739DF"/>
    <w:rsid w:val="7BDF4EC3"/>
    <w:rsid w:val="7BE7F7A1"/>
    <w:rsid w:val="7BF728A2"/>
    <w:rsid w:val="7CA70252"/>
    <w:rsid w:val="7CD7DCE0"/>
    <w:rsid w:val="7CDE0243"/>
    <w:rsid w:val="7CFF7BCB"/>
    <w:rsid w:val="7D4F06CD"/>
    <w:rsid w:val="7DF71F2F"/>
    <w:rsid w:val="7DFC4946"/>
    <w:rsid w:val="7E7E6B00"/>
    <w:rsid w:val="7E7FA8C2"/>
    <w:rsid w:val="7E868447"/>
    <w:rsid w:val="7EB3B5F6"/>
    <w:rsid w:val="7EDA2715"/>
    <w:rsid w:val="7EDF69ED"/>
    <w:rsid w:val="7EFDAD05"/>
    <w:rsid w:val="7F3E2E42"/>
    <w:rsid w:val="7F6B778C"/>
    <w:rsid w:val="7F7CE299"/>
    <w:rsid w:val="7F7F38C3"/>
    <w:rsid w:val="7F8A4E38"/>
    <w:rsid w:val="7F9DC62C"/>
    <w:rsid w:val="7FAFB3FF"/>
    <w:rsid w:val="7FB57B3B"/>
    <w:rsid w:val="7FB9F08C"/>
    <w:rsid w:val="7FC7479A"/>
    <w:rsid w:val="7FED66DD"/>
    <w:rsid w:val="7FF521D7"/>
    <w:rsid w:val="7FF70EC1"/>
    <w:rsid w:val="7FFB0BAD"/>
    <w:rsid w:val="7FFECB7D"/>
    <w:rsid w:val="7FFF51D7"/>
    <w:rsid w:val="8558657C"/>
    <w:rsid w:val="9DD4B11C"/>
    <w:rsid w:val="9DDCD6E6"/>
    <w:rsid w:val="9EC6377E"/>
    <w:rsid w:val="9EE736D8"/>
    <w:rsid w:val="9F9B230E"/>
    <w:rsid w:val="9FDF5510"/>
    <w:rsid w:val="9FF88565"/>
    <w:rsid w:val="9FF92DF2"/>
    <w:rsid w:val="A3FB5B28"/>
    <w:rsid w:val="AA6DB423"/>
    <w:rsid w:val="AAF7A959"/>
    <w:rsid w:val="AD5EC8A9"/>
    <w:rsid w:val="ADEFFEAA"/>
    <w:rsid w:val="AE3D1644"/>
    <w:rsid w:val="AED87C9C"/>
    <w:rsid w:val="AEFE5CB2"/>
    <w:rsid w:val="AF5E779F"/>
    <w:rsid w:val="AFFD1DF0"/>
    <w:rsid w:val="B3E54824"/>
    <w:rsid w:val="B5EFD44D"/>
    <w:rsid w:val="B6DF338A"/>
    <w:rsid w:val="B6FCF949"/>
    <w:rsid w:val="B6FFF3EF"/>
    <w:rsid w:val="B768578A"/>
    <w:rsid w:val="B76FE9CE"/>
    <w:rsid w:val="B77EDCC1"/>
    <w:rsid w:val="B7E78EC9"/>
    <w:rsid w:val="B81FF1FD"/>
    <w:rsid w:val="B9FE37F1"/>
    <w:rsid w:val="BBBAF30E"/>
    <w:rsid w:val="BC6FFF0E"/>
    <w:rsid w:val="BCAD3EDB"/>
    <w:rsid w:val="BCFF0849"/>
    <w:rsid w:val="BCFFD61B"/>
    <w:rsid w:val="BD6F860F"/>
    <w:rsid w:val="BE57FB9E"/>
    <w:rsid w:val="BEEFC609"/>
    <w:rsid w:val="BEFF7450"/>
    <w:rsid w:val="BFAF2A70"/>
    <w:rsid w:val="BFBDA004"/>
    <w:rsid w:val="BFE7F4F1"/>
    <w:rsid w:val="BFEFC02B"/>
    <w:rsid w:val="BFFCC9BD"/>
    <w:rsid w:val="C2ECE50D"/>
    <w:rsid w:val="C3BDADC4"/>
    <w:rsid w:val="C73ED9A2"/>
    <w:rsid w:val="CFE77E99"/>
    <w:rsid w:val="CFEE8A4D"/>
    <w:rsid w:val="CFFF1324"/>
    <w:rsid w:val="D3FB7F1F"/>
    <w:rsid w:val="D44F63A9"/>
    <w:rsid w:val="D77F4DD6"/>
    <w:rsid w:val="D7AFC19F"/>
    <w:rsid w:val="D7BF400D"/>
    <w:rsid w:val="D81AA628"/>
    <w:rsid w:val="DB7EA70B"/>
    <w:rsid w:val="DBDEE22A"/>
    <w:rsid w:val="DCFECC43"/>
    <w:rsid w:val="DDEB1953"/>
    <w:rsid w:val="DDEF1E96"/>
    <w:rsid w:val="DEFB78D6"/>
    <w:rsid w:val="DEFF9587"/>
    <w:rsid w:val="DF462446"/>
    <w:rsid w:val="DFBFFFEE"/>
    <w:rsid w:val="DFFF843E"/>
    <w:rsid w:val="E3BF5BC3"/>
    <w:rsid w:val="E4AF9A44"/>
    <w:rsid w:val="E5DE5E8B"/>
    <w:rsid w:val="E6FD435C"/>
    <w:rsid w:val="E7F7D2D2"/>
    <w:rsid w:val="E9F95819"/>
    <w:rsid w:val="EABFC4AC"/>
    <w:rsid w:val="EAFBB269"/>
    <w:rsid w:val="EBDDE7D3"/>
    <w:rsid w:val="EBDF8FB5"/>
    <w:rsid w:val="EBFFABF4"/>
    <w:rsid w:val="EDF5A69A"/>
    <w:rsid w:val="EDFF5EF9"/>
    <w:rsid w:val="EE7DD690"/>
    <w:rsid w:val="EEBFB97B"/>
    <w:rsid w:val="EEFD3AA1"/>
    <w:rsid w:val="EEFF118D"/>
    <w:rsid w:val="EFCF77EC"/>
    <w:rsid w:val="EFDB803C"/>
    <w:rsid w:val="EFF7C868"/>
    <w:rsid w:val="EFFD77CA"/>
    <w:rsid w:val="EFFF3C8F"/>
    <w:rsid w:val="F28F9900"/>
    <w:rsid w:val="F35F1A01"/>
    <w:rsid w:val="F38F7E0E"/>
    <w:rsid w:val="F4D586DE"/>
    <w:rsid w:val="F56F2CA7"/>
    <w:rsid w:val="F6FEB692"/>
    <w:rsid w:val="F73C2298"/>
    <w:rsid w:val="F73DB3E4"/>
    <w:rsid w:val="F75FBFB1"/>
    <w:rsid w:val="F77FDA54"/>
    <w:rsid w:val="F787A12E"/>
    <w:rsid w:val="F78FA5CE"/>
    <w:rsid w:val="F7B6045E"/>
    <w:rsid w:val="F7BF058B"/>
    <w:rsid w:val="F7BF97EC"/>
    <w:rsid w:val="F7DB23AD"/>
    <w:rsid w:val="F7DF2383"/>
    <w:rsid w:val="F7FF1A09"/>
    <w:rsid w:val="F7FFCB9E"/>
    <w:rsid w:val="F97F8BD2"/>
    <w:rsid w:val="F9F71D2F"/>
    <w:rsid w:val="FAF37EAC"/>
    <w:rsid w:val="FAFDD75F"/>
    <w:rsid w:val="FAFF1194"/>
    <w:rsid w:val="FB0EFDB6"/>
    <w:rsid w:val="FB17BB92"/>
    <w:rsid w:val="FB3F26A4"/>
    <w:rsid w:val="FB5D8A14"/>
    <w:rsid w:val="FBB7CE30"/>
    <w:rsid w:val="FBBE108A"/>
    <w:rsid w:val="FBBE8847"/>
    <w:rsid w:val="FBCEC863"/>
    <w:rsid w:val="FBE6F359"/>
    <w:rsid w:val="FBED77EE"/>
    <w:rsid w:val="FBEF8848"/>
    <w:rsid w:val="FBF7E6A5"/>
    <w:rsid w:val="FBF82560"/>
    <w:rsid w:val="FBFF3FF2"/>
    <w:rsid w:val="FBFFFF6C"/>
    <w:rsid w:val="FCDA7E03"/>
    <w:rsid w:val="FCDFF9CB"/>
    <w:rsid w:val="FCE75802"/>
    <w:rsid w:val="FCF7AAE4"/>
    <w:rsid w:val="FD5FFD87"/>
    <w:rsid w:val="FD73C66D"/>
    <w:rsid w:val="FD87368A"/>
    <w:rsid w:val="FDB77FCB"/>
    <w:rsid w:val="FDEF2422"/>
    <w:rsid w:val="FDEF58BA"/>
    <w:rsid w:val="FDF98659"/>
    <w:rsid w:val="FDFDFB5A"/>
    <w:rsid w:val="FE9FE4AC"/>
    <w:rsid w:val="FEAC589B"/>
    <w:rsid w:val="FEB777B4"/>
    <w:rsid w:val="FEBE7B26"/>
    <w:rsid w:val="FEBFC843"/>
    <w:rsid w:val="FEF29630"/>
    <w:rsid w:val="FEF5AC3F"/>
    <w:rsid w:val="FEFC7758"/>
    <w:rsid w:val="FEFD8690"/>
    <w:rsid w:val="FF19A27D"/>
    <w:rsid w:val="FF3A6AEF"/>
    <w:rsid w:val="FF4B82F8"/>
    <w:rsid w:val="FF73D0EA"/>
    <w:rsid w:val="FFB97BCB"/>
    <w:rsid w:val="FFBCEECF"/>
    <w:rsid w:val="FFBE3C0F"/>
    <w:rsid w:val="FFBFCBE2"/>
    <w:rsid w:val="FFDFC0ED"/>
    <w:rsid w:val="FFE6D275"/>
    <w:rsid w:val="FFF63777"/>
    <w:rsid w:val="FFF9F88E"/>
    <w:rsid w:val="FFFAA4D9"/>
    <w:rsid w:val="FFFAD66D"/>
    <w:rsid w:val="FFFBDEA3"/>
    <w:rsid w:val="FFFDACD8"/>
    <w:rsid w:val="FFFF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qFormat="1"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19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21"/>
    <w:qFormat/>
    <w:uiPriority w:val="0"/>
    <w:pPr>
      <w:spacing w:line="560" w:lineRule="exact"/>
    </w:pPr>
    <w:rPr>
      <w:sz w:val="28"/>
    </w:rPr>
  </w:style>
  <w:style w:type="paragraph" w:styleId="5">
    <w:name w:val="Body Text Indent"/>
    <w:basedOn w:val="1"/>
    <w:link w:val="25"/>
    <w:semiHidden/>
    <w:unhideWhenUsed/>
    <w:qFormat/>
    <w:uiPriority w:val="99"/>
    <w:pPr>
      <w:spacing w:after="120"/>
      <w:ind w:left="420" w:leftChars="200"/>
    </w:pPr>
  </w:style>
  <w:style w:type="paragraph" w:styleId="6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7">
    <w:name w:val="Date"/>
    <w:basedOn w:val="1"/>
    <w:next w:val="1"/>
    <w:link w:val="22"/>
    <w:qFormat/>
    <w:uiPriority w:val="0"/>
    <w:rPr>
      <w:rFonts w:eastAsia="楷体_GB2312"/>
      <w:kern w:val="4"/>
      <w:sz w:val="32"/>
      <w:szCs w:val="20"/>
    </w:rPr>
  </w:style>
  <w:style w:type="paragraph" w:styleId="8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0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toc 1"/>
    <w:basedOn w:val="1"/>
    <w:next w:val="1"/>
    <w:unhideWhenUsed/>
    <w:qFormat/>
    <w:uiPriority w:val="39"/>
    <w:pPr>
      <w:widowControl/>
      <w:spacing w:after="100" w:line="259" w:lineRule="auto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1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2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3">
    <w:name w:val="Body Text First Indent 2"/>
    <w:basedOn w:val="5"/>
    <w:link w:val="26"/>
    <w:semiHidden/>
    <w:unhideWhenUsed/>
    <w:qFormat/>
    <w:uiPriority w:val="99"/>
    <w:pPr>
      <w:ind w:firstLine="420" w:firstLineChars="200"/>
    </w:pPr>
  </w:style>
  <w:style w:type="character" w:styleId="16">
    <w:name w:val="page number"/>
    <w:basedOn w:val="15"/>
    <w:qFormat/>
    <w:uiPriority w:val="0"/>
  </w:style>
  <w:style w:type="character" w:styleId="17">
    <w:name w:val="Hyperlink"/>
    <w:basedOn w:val="1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标题 1 Char"/>
    <w:basedOn w:val="15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9">
    <w:name w:val="标题 2 Char"/>
    <w:basedOn w:val="15"/>
    <w:link w:val="4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0">
    <w:name w:val="页眉 Char"/>
    <w:link w:val="9"/>
    <w:qFormat/>
    <w:uiPriority w:val="0"/>
    <w:rPr>
      <w:rFonts w:ascii="Times New Roman" w:hAnsi="Times New Roman" w:eastAsia="宋体" w:cs="Times New Roman"/>
      <w:kern w:val="2"/>
      <w:sz w:val="18"/>
      <w:szCs w:val="24"/>
    </w:rPr>
  </w:style>
  <w:style w:type="character" w:customStyle="1" w:styleId="21">
    <w:name w:val="正文文本 Char"/>
    <w:basedOn w:val="15"/>
    <w:link w:val="2"/>
    <w:qFormat/>
    <w:uiPriority w:val="0"/>
    <w:rPr>
      <w:rFonts w:ascii="Times New Roman" w:hAnsi="Times New Roman" w:eastAsia="宋体" w:cs="Times New Roman"/>
      <w:sz w:val="28"/>
      <w:szCs w:val="24"/>
    </w:rPr>
  </w:style>
  <w:style w:type="character" w:customStyle="1" w:styleId="22">
    <w:name w:val="日期 Char"/>
    <w:basedOn w:val="15"/>
    <w:link w:val="7"/>
    <w:qFormat/>
    <w:uiPriority w:val="0"/>
    <w:rPr>
      <w:rFonts w:ascii="Times New Roman" w:hAnsi="Times New Roman" w:eastAsia="楷体_GB2312" w:cs="Times New Roman"/>
      <w:kern w:val="4"/>
      <w:sz w:val="32"/>
      <w:szCs w:val="20"/>
    </w:rPr>
  </w:style>
  <w:style w:type="character" w:customStyle="1" w:styleId="23">
    <w:name w:val="页脚 Char"/>
    <w:basedOn w:val="15"/>
    <w:link w:val="8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24">
    <w:name w:val="TOC 标题1"/>
    <w:basedOn w:val="3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  <w:style w:type="character" w:customStyle="1" w:styleId="25">
    <w:name w:val="正文文本缩进 Char"/>
    <w:basedOn w:val="15"/>
    <w:link w:val="5"/>
    <w:semiHidden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6">
    <w:name w:val="正文首行缩进 2 Char"/>
    <w:basedOn w:val="25"/>
    <w:link w:val="13"/>
    <w:semiHidden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paragraph" w:customStyle="1" w:styleId="27">
    <w:name w:val="默认段落"/>
    <w:basedOn w:val="1"/>
    <w:qFormat/>
    <w:uiPriority w:val="0"/>
    <w:pPr>
      <w:adjustRightInd w:val="0"/>
      <w:snapToGrid w:val="0"/>
      <w:spacing w:line="360" w:lineRule="auto"/>
    </w:pPr>
    <w:rPr>
      <w:sz w:val="24"/>
    </w:rPr>
  </w:style>
  <w:style w:type="paragraph" w:customStyle="1" w:styleId="28">
    <w:name w:val="表格内容"/>
    <w:basedOn w:val="1"/>
    <w:next w:val="1"/>
    <w:qFormat/>
    <w:uiPriority w:val="0"/>
    <w:pPr>
      <w:adjustRightInd w:val="0"/>
      <w:snapToGrid w:val="0"/>
      <w:jc w:val="center"/>
    </w:pPr>
    <w:rPr>
      <w:rFonts w:eastAsia="仿宋_GB2312"/>
      <w:szCs w:val="21"/>
    </w:rPr>
  </w:style>
  <w:style w:type="paragraph" w:customStyle="1" w:styleId="29">
    <w:name w:val="AAA 正文"/>
    <w:next w:val="1"/>
    <w:qFormat/>
    <w:uiPriority w:val="0"/>
    <w:pPr>
      <w:adjustRightInd w:val="0"/>
      <w:snapToGrid w:val="0"/>
      <w:spacing w:line="560" w:lineRule="exact"/>
      <w:ind w:firstLine="640" w:firstLineChars="200"/>
      <w:jc w:val="both"/>
    </w:pPr>
    <w:rPr>
      <w:rFonts w:hint="eastAsia" w:ascii="Times New Roman" w:hAnsi="Times New Roman" w:eastAsia="仿宋_GB2312" w:cs="Times New Roman"/>
      <w:color w:val="000000" w:themeColor="text1"/>
      <w:sz w:val="32"/>
      <w:szCs w:val="32"/>
      <w:lang w:val="en-US" w:eastAsia="zh-CN" w:bidi="ar-SA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13</Pages>
  <Words>3710</Words>
  <Characters>3762</Characters>
  <Lines>96</Lines>
  <Paragraphs>27</Paragraphs>
  <TotalTime>1</TotalTime>
  <ScaleCrop>false</ScaleCrop>
  <LinksUpToDate>false</LinksUpToDate>
  <CharactersWithSpaces>3762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2024-05-06T13:13:00Z</dcterms:created>
  <dc:creator>Kevin Lenovo</dc:creator>
  <cp:lastModifiedBy>btstbc</cp:lastModifiedBy>
  <cp:lastPrinted>2026-03-18T12:54:00Z</cp:lastPrinted>
  <dcterms:modified xsi:type="dcterms:W3CDTF">2026-09-21T08:49:27Z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KSOTemplateDocerSaveRecord">
    <vt:lpwstr>eyJoZGlkIjoiZTk4ODZhYTZjZDY5N2EwMTFlZjE3MWJiNzVlOGE4N2YiLCJ1c2VySWQiOiIxMDE4MDI1MDEyIn0=</vt:lpwstr>
  </property>
  <property fmtid="{D5CDD505-2E9C-101B-9397-08002B2CF9AE}" pid="4" name="ICV">
    <vt:lpwstr>D325A77AC5914C509FA7380A7C340B02_12</vt:lpwstr>
  </property>
</Properties>
</file>