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28"/>
          <w:szCs w:val="28"/>
          <w14:textFill>
            <w14:solidFill>
              <w14:schemeClr w14:val="tx1"/>
            </w14:solidFill>
          </w14:textFill>
        </w:rPr>
        <w:t>附件2</w:t>
      </w:r>
    </w:p>
    <w:p>
      <w:pPr>
        <w:pStyle w:val="2"/>
        <w:spacing w:line="440" w:lineRule="exact"/>
        <w:jc w:val="center"/>
        <w:outlineLvl w:val="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水土保持方案报告书</w:t>
      </w:r>
      <w:r>
        <w:rPr>
          <w:rFonts w:hint="eastAsia" w:ascii="黑体" w:hAnsi="黑体" w:eastAsia="黑体" w:cs="黑体"/>
          <w:color w:val="000000" w:themeColor="text1"/>
          <w:sz w:val="32"/>
          <w:szCs w:val="32"/>
          <w:lang w:eastAsia="zh-CN"/>
          <w14:textFill>
            <w14:solidFill>
              <w14:schemeClr w14:val="tx1"/>
            </w14:solidFill>
          </w14:textFill>
        </w:rPr>
        <w:t>批复</w:t>
      </w:r>
      <w:r>
        <w:rPr>
          <w:rFonts w:hint="eastAsia" w:ascii="黑体" w:hAnsi="黑体" w:eastAsia="黑体" w:cs="黑体"/>
          <w:color w:val="000000" w:themeColor="text1"/>
          <w:sz w:val="32"/>
          <w:szCs w:val="32"/>
          <w14:textFill>
            <w14:solidFill>
              <w14:schemeClr w14:val="tx1"/>
            </w14:solidFill>
          </w14:textFill>
        </w:rPr>
        <w:t>文件</w:t>
      </w:r>
    </w:p>
    <w:p>
      <w:pPr>
        <w:pStyle w:val="2"/>
        <w:spacing w:line="440" w:lineRule="exact"/>
        <w:jc w:val="center"/>
        <w:rPr>
          <w:rFonts w:ascii="仿宋_GB2312" w:hAnsi="仿宋_GB2312" w:eastAsia="仿宋_GB2312" w:cs="仿宋_GB2312"/>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（202</w:t>
      </w:r>
      <w:r>
        <w:rPr>
          <w:rFonts w:hint="eastAsia" w:eastAsia="仿宋_GB2312" w:cs="Times New Roman"/>
          <w:color w:val="000000" w:themeColor="text1"/>
          <w:sz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14:textFill>
            <w14:solidFill>
              <w14:schemeClr w14:val="tx1"/>
            </w14:solidFill>
          </w14:textFill>
        </w:rPr>
        <w:t>年</w:t>
      </w:r>
      <w:r>
        <w:rPr>
          <w:rFonts w:hint="default" w:eastAsia="仿宋_GB2312" w:cs="Times New Roman"/>
          <w:color w:val="000000" w:themeColor="text1"/>
          <w:sz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14:textFill>
            <w14:solidFill>
              <w14:schemeClr w14:val="tx1"/>
            </w14:solidFill>
          </w14:textFill>
        </w:rPr>
        <w:t>月）</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eastAsia="仿宋_GB2312"/>
          <w:color w:val="000000" w:themeColor="text1"/>
          <w:sz w:val="24"/>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eastAsia" w:eastAsia="仿宋_GB2312" w:cs="Times New Roman"/>
          <w:color w:val="000000" w:themeColor="text1"/>
          <w:sz w:val="24"/>
          <w:lang w:val="en-US" w:eastAsia="zh-CN"/>
          <w14:textFill>
            <w14:solidFill>
              <w14:schemeClr w14:val="tx1"/>
            </w14:solidFill>
          </w14:textFill>
        </w:rPr>
      </w:pPr>
      <w:r>
        <w:rPr>
          <w:rFonts w:hint="eastAsia" w:eastAsia="仿宋_GB2312" w:cs="Times New Roman"/>
          <w:color w:val="000000" w:themeColor="text1"/>
          <w:sz w:val="24"/>
          <w:lang w:val="en-US" w:eastAsia="zh-CN"/>
          <w14:textFill>
            <w14:solidFill>
              <w14:schemeClr w14:val="tx1"/>
            </w14:solidFill>
          </w14:textFill>
        </w:rPr>
        <w:t>1.关于阿拉尔市6.5万吨兵团级储备粮仓储设施建设项目水土保持方案审批准予行政许可决定书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eastAsia" w:eastAsia="仿宋_GB2312" w:cs="Times New Roman"/>
          <w:color w:val="000000" w:themeColor="text1"/>
          <w:sz w:val="24"/>
          <w:lang w:val="en-US" w:eastAsia="zh-CN"/>
          <w14:textFill>
            <w14:solidFill>
              <w14:schemeClr w14:val="tx1"/>
            </w14:solidFill>
          </w14:textFill>
        </w:rPr>
      </w:pPr>
      <w:r>
        <w:rPr>
          <w:rFonts w:hint="eastAsia" w:eastAsia="仿宋_GB2312" w:cs="Times New Roman"/>
          <w:color w:val="000000" w:themeColor="text1"/>
          <w:sz w:val="24"/>
          <w:lang w:val="en-US" w:eastAsia="zh-CN"/>
          <w14:textFill>
            <w14:solidFill>
              <w14:schemeClr w14:val="tx1"/>
            </w14:solidFill>
          </w14:textFill>
        </w:rPr>
        <w:t>2.关于白杨市6.5万吨兵团级储备粮仓储设施建设项目水土保持方案审批准予行政许可决定书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default" w:ascii="Times New Roman" w:hAnsi="Times New Roman" w:eastAsia="仿宋_GB2312" w:cs="Times New Roman"/>
          <w:color w:val="000000" w:themeColor="text1"/>
          <w:sz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lang w:val="en-US" w:eastAsia="zh-CN"/>
          <w14:textFill>
            <w14:solidFill>
              <w14:schemeClr w14:val="tx1"/>
            </w14:solidFill>
          </w14:textFill>
        </w:rPr>
        <w:t>3.关于可克达拉市8万吨兵团级储备粮仓储设施建设项目水土保持方案审批准予</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仿宋_GB2312" w:cs="Times New Roman"/>
          <w:color w:val="000000" w:themeColor="text1"/>
          <w:sz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lang w:val="en-US" w:eastAsia="zh-CN"/>
          <w14:textFill>
            <w14:solidFill>
              <w14:schemeClr w14:val="tx1"/>
            </w14:solidFill>
          </w14:textFill>
        </w:rPr>
        <w:t>行政许可决定书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default" w:ascii="Times New Roman" w:hAnsi="Times New Roman" w:eastAsia="仿宋_GB2312" w:cs="Times New Roman"/>
          <w:color w:val="000000" w:themeColor="text1"/>
          <w:sz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lang w:val="en-US" w:eastAsia="zh-CN"/>
          <w14:textFill>
            <w14:solidFill>
              <w14:schemeClr w14:val="tx1"/>
            </w14:solidFill>
          </w14:textFill>
        </w:rPr>
        <w:t>4.关于铁门关市5万吨兵团级储备粮仓储设施建设项目水土保持方案审批准予行政许可决定书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eastAsia" w:ascii="Times New Roman" w:hAnsi="Times New Roman" w:eastAsia="仿宋_GB2312" w:cs="Times New Roman"/>
          <w:color w:val="000000" w:themeColor="text1"/>
          <w:sz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lang w:val="en-US" w:eastAsia="zh-CN"/>
          <w14:textFill>
            <w14:solidFill>
              <w14:schemeClr w14:val="tx1"/>
            </w14:solidFill>
          </w14:textFill>
        </w:rPr>
        <w:t>5.</w:t>
      </w:r>
      <w:r>
        <w:rPr>
          <w:rFonts w:hint="eastAsia" w:ascii="Times New Roman" w:hAnsi="Times New Roman" w:eastAsia="仿宋_GB2312" w:cs="Times New Roman"/>
          <w:color w:val="000000" w:themeColor="text1"/>
          <w:sz w:val="24"/>
          <w:lang w:val="en-US" w:eastAsia="zh-CN"/>
          <w14:textFill>
            <w14:solidFill>
              <w14:schemeClr w14:val="tx1"/>
            </w14:solidFill>
          </w14:textFill>
        </w:rPr>
        <w:t>关于第九师166团-168团-165团公路项目水土保持方案审批准予行政许可决定书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eastAsia" w:ascii="Times New Roman" w:hAnsi="Times New Roman" w:eastAsia="仿宋_GB2312" w:cs="Times New Roman"/>
          <w:color w:val="000000" w:themeColor="text1"/>
          <w:sz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lang w:val="en-US" w:eastAsia="zh-CN"/>
          <w14:textFill>
            <w14:solidFill>
              <w14:schemeClr w14:val="tx1"/>
            </w14:solidFill>
          </w14:textFill>
        </w:rPr>
        <w:t>6.</w:t>
      </w:r>
      <w:r>
        <w:rPr>
          <w:rFonts w:hint="eastAsia" w:ascii="Times New Roman" w:hAnsi="Times New Roman" w:eastAsia="仿宋_GB2312" w:cs="Times New Roman"/>
          <w:color w:val="000000" w:themeColor="text1"/>
          <w:sz w:val="24"/>
          <w:lang w:val="en-US" w:eastAsia="zh-CN"/>
          <w14:textFill>
            <w14:solidFill>
              <w14:schemeClr w14:val="tx1"/>
            </w14:solidFill>
          </w14:textFill>
        </w:rPr>
        <w:t>关于新疆新星淖烟铁路物流有限公司骆驼圈子工业园专用铁路项目水土保持方案变更审批准予行政许可决定书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eastAsia" w:ascii="Times New Roman" w:hAnsi="Times New Roman" w:eastAsia="仿宋_GB2312" w:cs="Times New Roman"/>
          <w:color w:val="000000" w:themeColor="text1"/>
          <w:sz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lang w:val="en-US" w:eastAsia="zh-CN"/>
          <w14:textFill>
            <w14:solidFill>
              <w14:schemeClr w14:val="tx1"/>
            </w14:solidFill>
          </w14:textFill>
        </w:rPr>
        <w:t>7.</w:t>
      </w:r>
      <w:r>
        <w:rPr>
          <w:rFonts w:hint="eastAsia" w:ascii="Times New Roman" w:hAnsi="Times New Roman" w:eastAsia="仿宋_GB2312" w:cs="Times New Roman"/>
          <w:color w:val="000000" w:themeColor="text1"/>
          <w:sz w:val="24"/>
          <w:lang w:val="en-US" w:eastAsia="zh-CN"/>
          <w14:textFill>
            <w14:solidFill>
              <w14:schemeClr w14:val="tx1"/>
            </w14:solidFill>
          </w14:textFill>
        </w:rPr>
        <w:t>关于第八师石玛兵地融合陕建100万千瓦“草光互补”光伏项目水土保持方案审批准予行政许可决定书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default" w:ascii="Times New Roman" w:hAnsi="Times New Roman" w:eastAsia="仿宋_GB2312" w:cs="Times New Roman"/>
          <w:color w:val="000000" w:themeColor="text1"/>
          <w:sz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lang w:val="en-US" w:eastAsia="zh-CN"/>
          <w14:textFill>
            <w14:solidFill>
              <w14:schemeClr w14:val="tx1"/>
            </w14:solidFill>
          </w14:textFill>
        </w:rPr>
        <w:t>8.</w:t>
      </w:r>
      <w:r>
        <w:rPr>
          <w:rFonts w:hint="eastAsia" w:ascii="Times New Roman" w:hAnsi="Times New Roman" w:eastAsia="仿宋_GB2312" w:cs="Times New Roman"/>
          <w:color w:val="000000" w:themeColor="text1"/>
          <w:sz w:val="24"/>
          <w:lang w:val="en-US" w:eastAsia="zh-CN"/>
          <w14:textFill>
            <w14:solidFill>
              <w14:schemeClr w14:val="tx1"/>
            </w14:solidFill>
          </w14:textFill>
        </w:rPr>
        <w:t>关于G575-第十三师红山农场头道白杨沟草场-岔哈泉公路水土保持方案审批准予行政许可</w:t>
      </w:r>
      <w:bookmarkStart w:id="0" w:name="_GoBack"/>
      <w:bookmarkEnd w:id="0"/>
      <w:r>
        <w:rPr>
          <w:rFonts w:hint="eastAsia" w:ascii="Times New Roman" w:hAnsi="Times New Roman" w:eastAsia="仿宋_GB2312" w:cs="Times New Roman"/>
          <w:color w:val="000000" w:themeColor="text1"/>
          <w:sz w:val="24"/>
          <w:lang w:val="en-US" w:eastAsia="zh-CN"/>
          <w14:textFill>
            <w14:solidFill>
              <w14:schemeClr w14:val="tx1"/>
            </w14:solidFill>
          </w14:textFill>
        </w:rPr>
        <w:t>决定书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default" w:eastAsia="仿宋_GB2312" w:cs="Times New Roman"/>
          <w:color w:val="000000" w:themeColor="text1"/>
          <w:sz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0"/>
        <w:jc w:val="left"/>
        <w:textAlignment w:val="auto"/>
        <w:rPr>
          <w:rFonts w:hint="eastAsia" w:eastAsia="仿宋_GB2312" w:cs="Times New Roman"/>
          <w:color w:val="000000" w:themeColor="text1"/>
          <w:sz w:val="24"/>
          <w:lang w:val="en-US" w:eastAsia="zh-CN"/>
          <w14:textFill>
            <w14:solidFill>
              <w14:schemeClr w14:val="tx1"/>
            </w14:solidFill>
          </w14:textFill>
        </w:rPr>
      </w:pPr>
    </w:p>
    <w:p>
      <w:pPr>
        <w:pStyle w:val="2"/>
        <w:ind w:firstLine="480" w:firstLineChars="200"/>
        <w:rPr>
          <w:rFonts w:ascii="仿宋_GB2312" w:eastAsia="仿宋_GB2312"/>
          <w:color w:val="000000" w:themeColor="text1"/>
          <w:sz w:val="24"/>
          <w14:textFill>
            <w14:solidFill>
              <w14:schemeClr w14:val="tx1"/>
            </w14:solidFill>
          </w14:textFill>
        </w:rPr>
        <w:sectPr>
          <w:pgSz w:w="11906" w:h="16838"/>
          <w:pgMar w:top="2041" w:right="1531" w:bottom="2041" w:left="1531" w:header="851" w:footer="992" w:gutter="0"/>
          <w:cols w:space="425" w:num="1"/>
          <w:docGrid w:type="lines" w:linePitch="318" w:charSpace="0"/>
        </w:sectPr>
      </w:pPr>
    </w:p>
    <w:p>
      <w:pPr>
        <w:spacing w:line="560" w:lineRule="exact"/>
        <w:rPr>
          <w:rFonts w:ascii="Times New Roman" w:hAnsi="Times New Roman" w:eastAsia="方正小标宋_GBK"/>
          <w:sz w:val="44"/>
          <w:szCs w:val="44"/>
        </w:rPr>
      </w:pPr>
    </w:p>
    <w:p>
      <w:pPr>
        <w:spacing w:line="560" w:lineRule="exact"/>
        <w:jc w:val="center"/>
        <w:rPr>
          <w:rFonts w:hint="eastAsia" w:ascii="Times New Roman" w:hAnsi="Times New Roman" w:eastAsia="方正小标宋简体"/>
          <w:sz w:val="44"/>
          <w:szCs w:val="44"/>
        </w:rPr>
      </w:pPr>
      <w:r>
        <w:rPr>
          <w:rFonts w:ascii="Times New Roman" w:hAnsi="Times New Roman" w:eastAsia="方正小标宋简体"/>
          <w:sz w:val="44"/>
          <w:szCs w:val="44"/>
        </w:rPr>
        <w:t>关于</w:t>
      </w:r>
      <w:r>
        <w:rPr>
          <w:rFonts w:hint="eastAsia" w:ascii="Times New Roman" w:hAnsi="Times New Roman" w:eastAsia="方正小标宋简体"/>
          <w:sz w:val="44"/>
          <w:szCs w:val="44"/>
        </w:rPr>
        <w:t>阿拉尔市6.5万吨兵团级储备粮仓储设施建设项目</w:t>
      </w:r>
      <w:r>
        <w:rPr>
          <w:rFonts w:ascii="Times New Roman" w:hAnsi="Times New Roman" w:eastAsia="方正小标宋简体"/>
          <w:sz w:val="44"/>
          <w:szCs w:val="44"/>
        </w:rPr>
        <w:t>水土保持方案审批准予行政许可</w:t>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决定书</w:t>
      </w:r>
    </w:p>
    <w:p>
      <w:pPr>
        <w:pStyle w:val="2"/>
        <w:spacing w:line="560" w:lineRule="exact"/>
        <w:rPr>
          <w:rFonts w:ascii="Times New Roman" w:hAnsi="Times New Roman" w:eastAsia="方正小标宋_GBK"/>
          <w:sz w:val="44"/>
          <w:szCs w:val="44"/>
        </w:rPr>
      </w:pPr>
    </w:p>
    <w:p>
      <w:pPr>
        <w:rPr>
          <w:rFonts w:hint="eastAsia"/>
        </w:rPr>
      </w:pPr>
    </w:p>
    <w:p>
      <w:pPr>
        <w:pStyle w:val="2"/>
        <w:adjustRightInd w:val="0"/>
        <w:snapToGrid w:val="0"/>
        <w:spacing w:line="620" w:lineRule="exact"/>
        <w:rPr>
          <w:rFonts w:ascii="Times New Roman" w:hAnsi="Times New Roman" w:eastAsia="仿宋_GB2312"/>
          <w:sz w:val="32"/>
          <w:szCs w:val="32"/>
        </w:rPr>
      </w:pPr>
      <w:r>
        <w:rPr>
          <w:rFonts w:hint="eastAsia" w:ascii="Times New Roman" w:hAnsi="Times New Roman" w:eastAsia="仿宋_GB2312"/>
          <w:sz w:val="32"/>
          <w:szCs w:val="32"/>
        </w:rPr>
        <w:t>新疆生产建设兵团粮安储备粮管理有限责任公司</w:t>
      </w:r>
      <w:r>
        <w:rPr>
          <w:rFonts w:ascii="Times New Roman" w:hAnsi="Times New Roman" w:eastAsia="仿宋_GB2312"/>
          <w:sz w:val="32"/>
          <w:szCs w:val="32"/>
        </w:rPr>
        <w:t>：</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你单位《</w:t>
      </w:r>
      <w:r>
        <w:rPr>
          <w:rFonts w:hint="eastAsia" w:ascii="Times New Roman" w:hAnsi="Times New Roman" w:eastAsia="仿宋_GB2312"/>
          <w:sz w:val="32"/>
          <w:szCs w:val="32"/>
        </w:rPr>
        <w:t>关于申请审批阿拉尔市6.5万吨兵团级储备粮仓储设施建设项目水土保持方案的请示</w:t>
      </w:r>
      <w:r>
        <w:rPr>
          <w:rFonts w:ascii="Times New Roman" w:hAnsi="Times New Roman" w:eastAsia="仿宋_GB2312"/>
          <w:sz w:val="32"/>
          <w:szCs w:val="32"/>
        </w:rPr>
        <w:t>》收悉。我局组织有关专家对该项目水土保持方案报告书进行了技术评审，提出了评审意见（详见附件）。经审查，决定准予行政许可。</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一、水土保持方案总体意见</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（一）基本同意水土流失防治责任范围为8.81公顷。</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（二）同意水土流失防治执行北方风沙区</w:t>
      </w:r>
      <w:r>
        <w:rPr>
          <w:rFonts w:hint="eastAsia" w:ascii="Times New Roman" w:hAnsi="Times New Roman" w:eastAsia="仿宋_GB2312"/>
          <w:sz w:val="32"/>
          <w:szCs w:val="32"/>
        </w:rPr>
        <w:t>二</w:t>
      </w:r>
      <w:r>
        <w:rPr>
          <w:rFonts w:ascii="Times New Roman" w:hAnsi="Times New Roman" w:eastAsia="仿宋_GB2312"/>
          <w:sz w:val="32"/>
          <w:szCs w:val="32"/>
        </w:rPr>
        <w:t>级标准。</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（三）基本同意设计水平年水土流失综合防治目标为：水土流失治理度</w:t>
      </w:r>
      <w:r>
        <w:rPr>
          <w:rFonts w:hint="eastAsia" w:ascii="Times New Roman" w:hAnsi="Times New Roman" w:eastAsia="仿宋_GB2312"/>
          <w:sz w:val="32"/>
          <w:szCs w:val="32"/>
        </w:rPr>
        <w:t>77</w:t>
      </w:r>
      <w:r>
        <w:rPr>
          <w:rFonts w:ascii="Times New Roman" w:hAnsi="Times New Roman" w:eastAsia="仿宋_GB2312"/>
          <w:sz w:val="32"/>
          <w:szCs w:val="32"/>
        </w:rPr>
        <w:t>%，土壤流失控制比</w:t>
      </w:r>
      <w:r>
        <w:rPr>
          <w:rFonts w:hint="eastAsia" w:ascii="Times New Roman" w:hAnsi="Times New Roman" w:eastAsia="仿宋_GB2312"/>
          <w:sz w:val="32"/>
          <w:szCs w:val="32"/>
        </w:rPr>
        <w:t>1.0</w:t>
      </w:r>
      <w:r>
        <w:rPr>
          <w:rFonts w:ascii="Times New Roman" w:hAnsi="Times New Roman" w:eastAsia="仿宋_GB2312"/>
          <w:sz w:val="32"/>
          <w:szCs w:val="32"/>
        </w:rPr>
        <w:t>，渣土防护率</w:t>
      </w:r>
      <w:r>
        <w:rPr>
          <w:rFonts w:hint="eastAsia" w:ascii="Times New Roman" w:hAnsi="Times New Roman" w:eastAsia="仿宋_GB2312"/>
          <w:sz w:val="32"/>
          <w:szCs w:val="32"/>
        </w:rPr>
        <w:t>87</w:t>
      </w:r>
      <w:r>
        <w:rPr>
          <w:rFonts w:ascii="Times New Roman" w:hAnsi="Times New Roman" w:eastAsia="仿宋_GB2312"/>
          <w:sz w:val="32"/>
          <w:szCs w:val="32"/>
        </w:rPr>
        <w:t>%，林草植被恢复率</w:t>
      </w:r>
      <w:r>
        <w:rPr>
          <w:rFonts w:hint="eastAsia" w:ascii="Times New Roman" w:hAnsi="Times New Roman" w:eastAsia="仿宋_GB2312"/>
          <w:sz w:val="32"/>
          <w:szCs w:val="32"/>
        </w:rPr>
        <w:t>83%，</w:t>
      </w:r>
      <w:r>
        <w:rPr>
          <w:rFonts w:ascii="Times New Roman" w:hAnsi="Times New Roman" w:eastAsia="仿宋_GB2312"/>
          <w:sz w:val="32"/>
          <w:szCs w:val="32"/>
        </w:rPr>
        <w:t>林草覆盖率</w:t>
      </w:r>
      <w:r>
        <w:rPr>
          <w:rFonts w:hint="eastAsia" w:ascii="Times New Roman" w:hAnsi="Times New Roman" w:eastAsia="仿宋_GB2312"/>
          <w:sz w:val="32"/>
          <w:szCs w:val="32"/>
        </w:rPr>
        <w:t>8%，</w:t>
      </w:r>
      <w:r>
        <w:rPr>
          <w:rFonts w:ascii="Times New Roman" w:hAnsi="Times New Roman" w:eastAsia="仿宋_GB2312"/>
          <w:sz w:val="32"/>
          <w:szCs w:val="32"/>
        </w:rPr>
        <w:t>表土保护率</w:t>
      </w:r>
      <w:r>
        <w:rPr>
          <w:rFonts w:hint="eastAsia" w:ascii="Times New Roman" w:hAnsi="Times New Roman" w:eastAsia="仿宋_GB2312"/>
          <w:sz w:val="32"/>
          <w:szCs w:val="32"/>
        </w:rPr>
        <w:t>不作要求</w:t>
      </w:r>
      <w:r>
        <w:rPr>
          <w:rFonts w:ascii="Times New Roman" w:hAnsi="Times New Roman" w:eastAsia="仿宋_GB2312"/>
          <w:sz w:val="32"/>
          <w:szCs w:val="32"/>
        </w:rPr>
        <w:t>。</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（四）基本同意水土流失防治分区及其防治措施。</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（五）基本同意</w:t>
      </w:r>
      <w:r>
        <w:rPr>
          <w:rFonts w:hint="eastAsia" w:ascii="Times New Roman" w:hAnsi="Times New Roman" w:eastAsia="仿宋_GB2312"/>
          <w:sz w:val="32"/>
          <w:szCs w:val="32"/>
        </w:rPr>
        <w:t>建设期估算</w:t>
      </w:r>
      <w:r>
        <w:rPr>
          <w:rFonts w:ascii="Times New Roman" w:hAnsi="Times New Roman" w:eastAsia="仿宋_GB2312"/>
          <w:sz w:val="32"/>
          <w:szCs w:val="32"/>
        </w:rPr>
        <w:t>水土保持补偿费为8.81万元。</w:t>
      </w:r>
      <w:r>
        <w:rPr>
          <w:rFonts w:hint="eastAsia" w:ascii="Times New Roman" w:hAnsi="Times New Roman" w:eastAsia="仿宋_GB2312"/>
          <w:sz w:val="32"/>
          <w:szCs w:val="32"/>
        </w:rPr>
        <w:t>水土保持补偿费实际征收额由征收部门审核确定。</w:t>
      </w:r>
    </w:p>
    <w:p>
      <w:pPr>
        <w:adjustRightInd w:val="0"/>
        <w:snapToGrid w:val="0"/>
        <w:spacing w:line="62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二、生产建设单位在项目建设中应全面落实《中华人民共和国水土保持法》的相关要求，并重点做好以下工作</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按照批复的水土保持方案落实资金、监测、监理、管理等保证措施，做好水土保持初步设计、施工图设计、施工组织设计，加强对施工单位的监督和管理，明确水土流失防治责任，切实落实水土保持“三同时”制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严格按照批复的水土保持方案要求落实各项水土保持措施。各类施工活动要严格限定在用地范围内，严禁随意占压、扰动、破坏地表和植被；建设过程中产生的临时堆土要及时运至回填利用区域并进行防护，禁止随意倾倒；根据方案要求合理安排施工时序和水土保持措施实施进度，严格控制施工期间可能造成的水土流失。</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（三）切实做好水土保持监测工作，加强建设期水土流失动态监控，并按规定向兵团水利局</w:t>
      </w:r>
      <w:r>
        <w:rPr>
          <w:rFonts w:hint="eastAsia" w:ascii="Times New Roman" w:hAnsi="Times New Roman" w:eastAsia="仿宋_GB2312"/>
          <w:sz w:val="32"/>
          <w:szCs w:val="32"/>
        </w:rPr>
        <w:t>、</w:t>
      </w:r>
      <w:r>
        <w:rPr>
          <w:rFonts w:ascii="Times New Roman" w:hAnsi="Times New Roman" w:eastAsia="仿宋_GB2312"/>
          <w:sz w:val="32"/>
          <w:szCs w:val="32"/>
        </w:rPr>
        <w:t>第</w:t>
      </w:r>
      <w:r>
        <w:rPr>
          <w:rFonts w:hint="eastAsia" w:ascii="Times New Roman" w:hAnsi="Times New Roman" w:eastAsia="仿宋_GB2312"/>
          <w:sz w:val="32"/>
          <w:szCs w:val="32"/>
        </w:rPr>
        <w:t>一</w:t>
      </w:r>
      <w:r>
        <w:rPr>
          <w:rFonts w:ascii="Times New Roman" w:hAnsi="Times New Roman" w:eastAsia="仿宋_GB2312"/>
          <w:sz w:val="32"/>
          <w:szCs w:val="32"/>
        </w:rPr>
        <w:t>师水利局提交水土保持监测季度报告及总结报告。</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（四）落实并做好水土保持监理工作，确保水土保持工程建设质量和进度。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（五）依法依规足额缴纳水土保持补偿费。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三、水土保持方案变更有关要求</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（一）本项目的建设地点、规模如发生重大变化，或者水土保持方案实施过程中水土保持措施发生重大变更，建设单位应及时补充或者修改水土保持方案，报我局审批。</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w:t>
      </w:r>
      <w:r>
        <w:rPr>
          <w:rFonts w:hint="eastAsia" w:ascii="Times New Roman" w:hAnsi="Times New Roman" w:eastAsia="仿宋_GB2312"/>
          <w:sz w:val="32"/>
          <w:szCs w:val="32"/>
        </w:rPr>
        <w:t>需要新设弃渣场的，</w:t>
      </w:r>
      <w:r>
        <w:rPr>
          <w:rFonts w:ascii="Times New Roman" w:hAnsi="Times New Roman" w:eastAsia="仿宋_GB2312"/>
          <w:sz w:val="32"/>
          <w:szCs w:val="32"/>
        </w:rPr>
        <w:t>应当开展弃渣减量化、资源化论证，并在弃渣前编制水土保持方案补充报告，报我局审批。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四、其他</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本项目在竣工验收或投产使用前应通过水土保持设施自主验收；生产建设单位应当在水土保持设施自主验收通过后3个月内，向我局报备水土保持设施验收材料。水土保持设施未经验收或者验收不合格的，生产建设项目不得投产使用。</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（二）本项目存在违反《中华人民共和国水土保持法》第二十六条的规定，水土保持方案未经批准而开工建设的行为。生产建设单位要深刻吸取教训，严格执行水土保持法律法规，杜绝此类行为再次发生。</w:t>
      </w:r>
    </w:p>
    <w:p>
      <w:pPr>
        <w:adjustRightInd w:val="0"/>
        <w:snapToGrid w:val="0"/>
        <w:spacing w:line="6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w:t>
      </w:r>
      <w:r>
        <w:rPr>
          <w:rFonts w:ascii="Times New Roman" w:hAnsi="Times New Roman" w:eastAsia="仿宋_GB2312"/>
          <w:sz w:val="32"/>
          <w:szCs w:val="32"/>
        </w:rPr>
        <w:t>本</w:t>
      </w:r>
      <w:r>
        <w:rPr>
          <w:rFonts w:hint="eastAsia" w:ascii="Times New Roman" w:hAnsi="Times New Roman" w:eastAsia="仿宋_GB2312"/>
          <w:sz w:val="32"/>
          <w:szCs w:val="32"/>
        </w:rPr>
        <w:t>许可文件自批准之日起有效期限3年</w:t>
      </w:r>
      <w:r>
        <w:rPr>
          <w:rFonts w:ascii="Times New Roman" w:hAnsi="Times New Roman" w:eastAsia="仿宋_GB2312"/>
          <w:sz w:val="32"/>
          <w:szCs w:val="32"/>
        </w:rPr>
        <w:t>。</w:t>
      </w:r>
      <w:r>
        <w:rPr>
          <w:rFonts w:hint="eastAsia" w:ascii="Times New Roman" w:hAnsi="Times New Roman" w:eastAsia="仿宋_GB2312"/>
          <w:sz w:val="32"/>
          <w:szCs w:val="32"/>
        </w:rPr>
        <w:t>在许可文件有效期内未开工建设的，生产建设单位应在许可文件有效期满的30个工作日之前向我局申请重新审核。项目在许可文件有效期内未开工建设的，或虽提出重新审核申请但未批准的，本许可文件自动失效。</w:t>
      </w:r>
    </w:p>
    <w:p>
      <w:pPr>
        <w:rPr>
          <w:rFonts w:hint="eastAsia"/>
        </w:rPr>
      </w:pPr>
      <w:r>
        <w:rPr>
          <w:rFonts w:hint="eastAsia"/>
        </w:rPr>
        <w:br w:type="page"/>
      </w:r>
    </w:p>
    <w:p>
      <w:pPr>
        <w:spacing w:line="560" w:lineRule="exact"/>
        <w:jc w:val="center"/>
        <w:rPr>
          <w:rFonts w:ascii="Times New Roman" w:hAnsi="Times New Roman" w:eastAsia="方正小标宋简体"/>
          <w:sz w:val="44"/>
          <w:szCs w:val="44"/>
        </w:rPr>
      </w:pPr>
    </w:p>
    <w:p>
      <w:pPr>
        <w:spacing w:line="560" w:lineRule="exact"/>
        <w:jc w:val="center"/>
        <w:rPr>
          <w:rFonts w:hint="eastAsia" w:ascii="Times New Roman" w:hAnsi="Times New Roman" w:eastAsia="方正小标宋简体"/>
          <w:sz w:val="44"/>
          <w:szCs w:val="44"/>
        </w:rPr>
      </w:pPr>
      <w:r>
        <w:rPr>
          <w:rFonts w:ascii="Times New Roman" w:hAnsi="Times New Roman" w:eastAsia="方正小标宋简体"/>
          <w:sz w:val="44"/>
          <w:szCs w:val="44"/>
        </w:rPr>
        <w:t>关于</w:t>
      </w:r>
      <w:r>
        <w:rPr>
          <w:rFonts w:hint="eastAsia" w:ascii="Times New Roman" w:hAnsi="Times New Roman" w:eastAsia="方正小标宋简体"/>
          <w:sz w:val="44"/>
          <w:szCs w:val="44"/>
        </w:rPr>
        <w:t>白杨市6.5万吨兵团级储备粮仓储设施</w:t>
      </w:r>
    </w:p>
    <w:p>
      <w:pPr>
        <w:spacing w:line="56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建设项目</w:t>
      </w:r>
      <w:r>
        <w:rPr>
          <w:rFonts w:ascii="Times New Roman" w:hAnsi="Times New Roman" w:eastAsia="方正小标宋简体"/>
          <w:sz w:val="44"/>
          <w:szCs w:val="44"/>
        </w:rPr>
        <w:t>水土保持方案审批准予行政许可</w:t>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决定书</w:t>
      </w:r>
    </w:p>
    <w:p>
      <w:pPr>
        <w:pStyle w:val="2"/>
        <w:spacing w:line="560" w:lineRule="exact"/>
        <w:rPr>
          <w:rFonts w:ascii="Times New Roman" w:hAnsi="Times New Roman" w:eastAsia="方正小标宋_GBK"/>
          <w:sz w:val="44"/>
          <w:szCs w:val="44"/>
        </w:rPr>
      </w:pPr>
    </w:p>
    <w:p>
      <w:pPr>
        <w:pStyle w:val="2"/>
        <w:adjustRightInd w:val="0"/>
        <w:snapToGrid w:val="0"/>
        <w:spacing w:line="620" w:lineRule="exact"/>
        <w:rPr>
          <w:rFonts w:ascii="Times New Roman" w:hAnsi="Times New Roman" w:eastAsia="仿宋_GB2312"/>
          <w:sz w:val="32"/>
          <w:szCs w:val="32"/>
        </w:rPr>
      </w:pPr>
      <w:r>
        <w:rPr>
          <w:rFonts w:hint="eastAsia" w:ascii="Times New Roman" w:hAnsi="Times New Roman" w:eastAsia="仿宋_GB2312"/>
          <w:sz w:val="32"/>
          <w:szCs w:val="32"/>
        </w:rPr>
        <w:t>新疆生产建设兵团粮安储备粮管理有限责任公司</w:t>
      </w:r>
      <w:r>
        <w:rPr>
          <w:rFonts w:ascii="Times New Roman" w:hAnsi="Times New Roman" w:eastAsia="仿宋_GB2312"/>
          <w:sz w:val="32"/>
          <w:szCs w:val="32"/>
        </w:rPr>
        <w:t>：</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你单位《</w:t>
      </w:r>
      <w:r>
        <w:rPr>
          <w:rFonts w:hint="eastAsia" w:ascii="Times New Roman" w:hAnsi="Times New Roman" w:eastAsia="仿宋_GB2312"/>
          <w:sz w:val="32"/>
          <w:szCs w:val="32"/>
        </w:rPr>
        <w:t>关于申请审批白杨市6.5万吨兵团级储备粮仓储设施建设项目水土保持方案的请示</w:t>
      </w:r>
      <w:r>
        <w:rPr>
          <w:rFonts w:ascii="Times New Roman" w:hAnsi="Times New Roman" w:eastAsia="仿宋_GB2312"/>
          <w:sz w:val="32"/>
          <w:szCs w:val="32"/>
        </w:rPr>
        <w:t>》收悉。我局组织有关专家对该项目水土保持方案报告书进行了技术评审，提出了评审意见（详见附件）。经审查，决定准予行政许可。</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一、水土保持方案总体意见</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（一）基本同意水土流失防治责任范围为14.86公顷。</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（二）同意水土流失防治执行北方风沙区一级标准。</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（三）基本同意设计水平年水土流失综合防治目标为：水土流失治理度</w:t>
      </w:r>
      <w:r>
        <w:rPr>
          <w:rFonts w:hint="eastAsia" w:ascii="Times New Roman" w:hAnsi="Times New Roman" w:eastAsia="仿宋_GB2312"/>
          <w:sz w:val="32"/>
          <w:szCs w:val="32"/>
        </w:rPr>
        <w:t>80</w:t>
      </w:r>
      <w:r>
        <w:rPr>
          <w:rFonts w:ascii="Times New Roman" w:hAnsi="Times New Roman" w:eastAsia="仿宋_GB2312"/>
          <w:sz w:val="32"/>
          <w:szCs w:val="32"/>
        </w:rPr>
        <w:t>%，土壤流失控制比</w:t>
      </w:r>
      <w:r>
        <w:rPr>
          <w:rFonts w:hint="eastAsia" w:ascii="Times New Roman" w:hAnsi="Times New Roman" w:eastAsia="仿宋_GB2312"/>
          <w:sz w:val="32"/>
          <w:szCs w:val="32"/>
        </w:rPr>
        <w:t>1.0</w:t>
      </w:r>
      <w:r>
        <w:rPr>
          <w:rFonts w:ascii="Times New Roman" w:hAnsi="Times New Roman" w:eastAsia="仿宋_GB2312"/>
          <w:sz w:val="32"/>
          <w:szCs w:val="32"/>
        </w:rPr>
        <w:t>，渣土防护率</w:t>
      </w:r>
      <w:r>
        <w:rPr>
          <w:rFonts w:hint="eastAsia" w:ascii="Times New Roman" w:hAnsi="Times New Roman" w:eastAsia="仿宋_GB2312"/>
          <w:sz w:val="32"/>
          <w:szCs w:val="32"/>
        </w:rPr>
        <w:t>89</w:t>
      </w:r>
      <w:r>
        <w:rPr>
          <w:rFonts w:ascii="Times New Roman" w:hAnsi="Times New Roman" w:eastAsia="仿宋_GB2312"/>
          <w:sz w:val="32"/>
          <w:szCs w:val="32"/>
        </w:rPr>
        <w:t>%，林草植被恢复率</w:t>
      </w:r>
      <w:r>
        <w:rPr>
          <w:rFonts w:hint="eastAsia" w:ascii="Times New Roman" w:hAnsi="Times New Roman" w:eastAsia="仿宋_GB2312"/>
          <w:sz w:val="32"/>
          <w:szCs w:val="32"/>
        </w:rPr>
        <w:t>88%，和</w:t>
      </w:r>
      <w:r>
        <w:rPr>
          <w:rFonts w:ascii="Times New Roman" w:hAnsi="Times New Roman" w:eastAsia="仿宋_GB2312"/>
          <w:sz w:val="32"/>
          <w:szCs w:val="32"/>
        </w:rPr>
        <w:t>林草覆盖率</w:t>
      </w:r>
      <w:r>
        <w:rPr>
          <w:rFonts w:hint="eastAsia" w:ascii="Times New Roman" w:hAnsi="Times New Roman" w:eastAsia="仿宋_GB2312"/>
          <w:sz w:val="32"/>
          <w:szCs w:val="32"/>
        </w:rPr>
        <w:t>7%，</w:t>
      </w:r>
      <w:r>
        <w:rPr>
          <w:rFonts w:ascii="Times New Roman" w:hAnsi="Times New Roman" w:eastAsia="仿宋_GB2312"/>
          <w:sz w:val="32"/>
          <w:szCs w:val="32"/>
        </w:rPr>
        <w:t>表土保护率</w:t>
      </w:r>
      <w:r>
        <w:rPr>
          <w:rFonts w:hint="eastAsia" w:ascii="Times New Roman" w:hAnsi="Times New Roman" w:eastAsia="仿宋_GB2312"/>
          <w:sz w:val="32"/>
          <w:szCs w:val="32"/>
        </w:rPr>
        <w:t>不作要求</w:t>
      </w:r>
      <w:r>
        <w:rPr>
          <w:rFonts w:ascii="Times New Roman" w:hAnsi="Times New Roman" w:eastAsia="仿宋_GB2312"/>
          <w:sz w:val="32"/>
          <w:szCs w:val="32"/>
        </w:rPr>
        <w:t>。</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（四）基本同意水土流失防治分区及其防治措施。</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（五）基本同意</w:t>
      </w:r>
      <w:r>
        <w:rPr>
          <w:rFonts w:hint="eastAsia" w:ascii="Times New Roman" w:hAnsi="Times New Roman" w:eastAsia="仿宋_GB2312"/>
          <w:sz w:val="32"/>
          <w:szCs w:val="32"/>
        </w:rPr>
        <w:t>建设期估算</w:t>
      </w:r>
      <w:r>
        <w:rPr>
          <w:rFonts w:ascii="Times New Roman" w:hAnsi="Times New Roman" w:eastAsia="仿宋_GB2312"/>
          <w:sz w:val="32"/>
          <w:szCs w:val="32"/>
        </w:rPr>
        <w:t>水土保持补偿费为14.86万元。</w:t>
      </w:r>
      <w:r>
        <w:rPr>
          <w:rFonts w:hint="eastAsia" w:ascii="Times New Roman" w:hAnsi="Times New Roman" w:eastAsia="仿宋_GB2312"/>
          <w:sz w:val="32"/>
          <w:szCs w:val="32"/>
        </w:rPr>
        <w:t>水土保持补偿费实际征收额由征收部门审核确定。</w:t>
      </w:r>
    </w:p>
    <w:p>
      <w:pPr>
        <w:adjustRightInd w:val="0"/>
        <w:snapToGrid w:val="0"/>
        <w:spacing w:line="62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二、生产建设单位在项目建设中应全面落实《中华人民共和国水土保持法》的相关要求，并重点做好以下工作</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按照批复的水土保持方案落实资金、监测、监理、管理等保证措施，做好水土保持初步设计、施工图设计、施工组织设计，加强对施工单位的监督和管理，明确水土流失防治责任，切实落实水土保持“三同时”制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严格按照批复的水土保持方案要求落实各项水土保持措施。各类施工活动要严格限定在用地范围内，严禁随意占压、扰动、破坏地表和植被；建设过程中产生的临时堆土要及时运至回填利用区域并进行防护，禁止随意倾倒；根据方案要求合理安排施工时序和水土保持措施实施进度，严格控制施工期间可能造成的水土流失。</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（三）切实做好水土保持监测工作，加强建设期水土流失动态监控，并按规定向兵团水利局</w:t>
      </w:r>
      <w:r>
        <w:rPr>
          <w:rFonts w:hint="eastAsia" w:ascii="Times New Roman" w:hAnsi="Times New Roman" w:eastAsia="仿宋_GB2312"/>
          <w:sz w:val="32"/>
          <w:szCs w:val="32"/>
        </w:rPr>
        <w:t>、</w:t>
      </w:r>
      <w:r>
        <w:rPr>
          <w:rFonts w:ascii="Times New Roman" w:hAnsi="Times New Roman" w:eastAsia="仿宋_GB2312"/>
          <w:sz w:val="32"/>
          <w:szCs w:val="32"/>
        </w:rPr>
        <w:t>第</w:t>
      </w:r>
      <w:r>
        <w:rPr>
          <w:rFonts w:hint="eastAsia" w:ascii="Times New Roman" w:hAnsi="Times New Roman" w:eastAsia="仿宋_GB2312"/>
          <w:sz w:val="32"/>
          <w:szCs w:val="32"/>
        </w:rPr>
        <w:t>九</w:t>
      </w:r>
      <w:r>
        <w:rPr>
          <w:rFonts w:ascii="Times New Roman" w:hAnsi="Times New Roman" w:eastAsia="仿宋_GB2312"/>
          <w:sz w:val="32"/>
          <w:szCs w:val="32"/>
        </w:rPr>
        <w:t>师水利局提交水土保持监测季度报告及总结报告。</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（四）落实并做好水土保持监理工作，确保水土保持工程建设质量和进度。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（五）依法依规足额缴纳水土保持补偿费。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三、水土保持方案变更有关要求</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（一）本项目的建设地点、规模如发生重大变化，或者水土保持方案实施过程中水土保持措施发生重大变更，建设单位应及时补充或者修改水土保持方案，报我局审批。</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w:t>
      </w:r>
      <w:r>
        <w:rPr>
          <w:rFonts w:hint="eastAsia" w:ascii="Times New Roman" w:hAnsi="Times New Roman" w:eastAsia="仿宋_GB2312"/>
          <w:sz w:val="32"/>
          <w:szCs w:val="32"/>
        </w:rPr>
        <w:t>需要新设弃渣场的，</w:t>
      </w:r>
      <w:r>
        <w:rPr>
          <w:rFonts w:ascii="Times New Roman" w:hAnsi="Times New Roman" w:eastAsia="仿宋_GB2312"/>
          <w:sz w:val="32"/>
          <w:szCs w:val="32"/>
        </w:rPr>
        <w:t>应当开展弃渣减量化、资源化论证，并在弃渣前编制水土保持方案补充报告，报我局审批。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四、其他</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本项目在竣工验收或投产使用前应通过水土保持设施自主验收；生产建设单位应当在水土保持设施自主验收通过后3个月内，向我局报备水土保持设施验收材料。水土保持设施未经验收或者验收不合格的，生产建设项目不得投产使用。</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（二）本项目存在违反《中华人民共和国水土保持法》第二十六条的规定，水土保持方案未经批准而开工建设的行为。生产建设单位要深刻吸取教训，严格执行水土保持法律法规，杜绝此类行为再次发生。</w:t>
      </w:r>
    </w:p>
    <w:p>
      <w:pPr>
        <w:adjustRightInd w:val="0"/>
        <w:snapToGrid w:val="0"/>
        <w:spacing w:line="6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w:t>
      </w:r>
      <w:r>
        <w:rPr>
          <w:rFonts w:ascii="Times New Roman" w:hAnsi="Times New Roman" w:eastAsia="仿宋_GB2312"/>
          <w:sz w:val="32"/>
          <w:szCs w:val="32"/>
        </w:rPr>
        <w:t>本</w:t>
      </w:r>
      <w:r>
        <w:rPr>
          <w:rFonts w:hint="eastAsia" w:ascii="Times New Roman" w:hAnsi="Times New Roman" w:eastAsia="仿宋_GB2312"/>
          <w:sz w:val="32"/>
          <w:szCs w:val="32"/>
        </w:rPr>
        <w:t>许可文件自批准之日起有效期限3年</w:t>
      </w:r>
      <w:r>
        <w:rPr>
          <w:rFonts w:ascii="Times New Roman" w:hAnsi="Times New Roman" w:eastAsia="仿宋_GB2312"/>
          <w:sz w:val="32"/>
          <w:szCs w:val="32"/>
        </w:rPr>
        <w:t>。</w:t>
      </w:r>
      <w:r>
        <w:rPr>
          <w:rFonts w:hint="eastAsia" w:ascii="Times New Roman" w:hAnsi="Times New Roman" w:eastAsia="仿宋_GB2312"/>
          <w:sz w:val="32"/>
          <w:szCs w:val="32"/>
        </w:rPr>
        <w:t>在许可文件有效期内未开工建设的，生产建设单位应在许可文件有效期满的30个工作日之前向我局申请重新审核。项目在许可文件有效期内未开工建设的，或虽提出重新审核申请但未批准的，本许可文件自动失效。</w:t>
      </w:r>
    </w:p>
    <w:p>
      <w:pPr>
        <w:rPr>
          <w:rFonts w:hint="eastAsia"/>
        </w:rPr>
      </w:pPr>
      <w:r>
        <w:rPr>
          <w:rFonts w:hint="eastAsia"/>
        </w:rPr>
        <w:br w:type="page"/>
      </w:r>
    </w:p>
    <w:p>
      <w:pPr>
        <w:spacing w:line="560" w:lineRule="exact"/>
        <w:jc w:val="center"/>
        <w:rPr>
          <w:rFonts w:hint="eastAsia" w:ascii="Times New Roman" w:hAnsi="Times New Roman" w:eastAsia="方正小标宋简体"/>
          <w:sz w:val="44"/>
          <w:szCs w:val="44"/>
        </w:rPr>
      </w:pPr>
      <w:r>
        <w:rPr>
          <w:rFonts w:ascii="Times New Roman" w:hAnsi="Times New Roman" w:eastAsia="方正小标宋简体"/>
          <w:sz w:val="44"/>
          <w:szCs w:val="44"/>
        </w:rPr>
        <w:t>关于</w:t>
      </w:r>
      <w:r>
        <w:rPr>
          <w:rFonts w:hint="eastAsia" w:ascii="Times New Roman" w:hAnsi="Times New Roman" w:eastAsia="方正小标宋简体"/>
          <w:sz w:val="44"/>
          <w:szCs w:val="44"/>
        </w:rPr>
        <w:t>可克达拉市8万吨兵团级储备粮仓储</w:t>
      </w:r>
    </w:p>
    <w:p>
      <w:pPr>
        <w:spacing w:line="56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设施建设项目</w:t>
      </w:r>
      <w:r>
        <w:rPr>
          <w:rFonts w:ascii="Times New Roman" w:hAnsi="Times New Roman" w:eastAsia="方正小标宋简体"/>
          <w:sz w:val="44"/>
          <w:szCs w:val="44"/>
        </w:rPr>
        <w:t>水土保持方案审批准予</w:t>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行政许可决定书</w:t>
      </w:r>
    </w:p>
    <w:p>
      <w:pPr>
        <w:pStyle w:val="2"/>
        <w:spacing w:line="560" w:lineRule="exact"/>
        <w:rPr>
          <w:rFonts w:ascii="Times New Roman" w:hAnsi="Times New Roman" w:eastAsia="方正小标宋_GBK"/>
          <w:sz w:val="44"/>
          <w:szCs w:val="44"/>
        </w:rPr>
      </w:pPr>
    </w:p>
    <w:p>
      <w:pPr>
        <w:pStyle w:val="2"/>
        <w:adjustRightInd w:val="0"/>
        <w:snapToGrid w:val="0"/>
        <w:spacing w:line="620" w:lineRule="exact"/>
        <w:rPr>
          <w:rFonts w:ascii="Times New Roman" w:hAnsi="Times New Roman" w:eastAsia="仿宋_GB2312"/>
          <w:sz w:val="32"/>
          <w:szCs w:val="32"/>
        </w:rPr>
      </w:pPr>
      <w:r>
        <w:rPr>
          <w:rFonts w:hint="eastAsia" w:ascii="Times New Roman" w:hAnsi="Times New Roman" w:eastAsia="仿宋_GB2312"/>
          <w:sz w:val="32"/>
          <w:szCs w:val="32"/>
        </w:rPr>
        <w:t>新疆生产建设兵团粮安储备粮管理有限责任公司</w:t>
      </w:r>
      <w:r>
        <w:rPr>
          <w:rFonts w:ascii="Times New Roman" w:hAnsi="Times New Roman" w:eastAsia="仿宋_GB2312"/>
          <w:sz w:val="32"/>
          <w:szCs w:val="32"/>
        </w:rPr>
        <w:t>：</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你单位《</w:t>
      </w:r>
      <w:r>
        <w:rPr>
          <w:rFonts w:hint="eastAsia" w:ascii="Times New Roman" w:hAnsi="Times New Roman" w:eastAsia="仿宋_GB2312"/>
          <w:sz w:val="32"/>
          <w:szCs w:val="32"/>
        </w:rPr>
        <w:t>关于申请审批可克达拉市8万吨兵团级储备粮仓储设施建设项目水土保持方案的请示</w:t>
      </w:r>
      <w:r>
        <w:rPr>
          <w:rFonts w:ascii="Times New Roman" w:hAnsi="Times New Roman" w:eastAsia="仿宋_GB2312"/>
          <w:sz w:val="32"/>
          <w:szCs w:val="32"/>
        </w:rPr>
        <w:t>》收悉。我局组织有关专家对该项目水土保持方案报告书进行了技术评审，提出了评审意见（详见附件）。经审查，决定准予行政许可。</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一、水土保持方案总体意见</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（一）基本同意水土流失防治责任范围为12.23公顷。</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（二）同意水土流失防治执行北方风沙区一级标准。</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（三）基本同意设计水平年水土流失综合防治目标为：水土流失治理度</w:t>
      </w:r>
      <w:r>
        <w:rPr>
          <w:rFonts w:hint="eastAsia" w:ascii="Times New Roman" w:hAnsi="Times New Roman" w:eastAsia="仿宋_GB2312"/>
          <w:sz w:val="32"/>
          <w:szCs w:val="32"/>
        </w:rPr>
        <w:t>82</w:t>
      </w:r>
      <w:r>
        <w:rPr>
          <w:rFonts w:ascii="Times New Roman" w:hAnsi="Times New Roman" w:eastAsia="仿宋_GB2312"/>
          <w:sz w:val="32"/>
          <w:szCs w:val="32"/>
        </w:rPr>
        <w:t>%，土壤流失控制比</w:t>
      </w:r>
      <w:r>
        <w:rPr>
          <w:rFonts w:hint="eastAsia" w:ascii="Times New Roman" w:hAnsi="Times New Roman" w:eastAsia="仿宋_GB2312"/>
          <w:sz w:val="32"/>
          <w:szCs w:val="32"/>
        </w:rPr>
        <w:t>1.0</w:t>
      </w:r>
      <w:r>
        <w:rPr>
          <w:rFonts w:ascii="Times New Roman" w:hAnsi="Times New Roman" w:eastAsia="仿宋_GB2312"/>
          <w:sz w:val="32"/>
          <w:szCs w:val="32"/>
        </w:rPr>
        <w:t>，渣土防护率</w:t>
      </w:r>
      <w:r>
        <w:rPr>
          <w:rFonts w:hint="eastAsia" w:ascii="Times New Roman" w:hAnsi="Times New Roman" w:eastAsia="仿宋_GB2312"/>
          <w:sz w:val="32"/>
          <w:szCs w:val="32"/>
        </w:rPr>
        <w:t>89</w:t>
      </w:r>
      <w:r>
        <w:rPr>
          <w:rFonts w:ascii="Times New Roman" w:hAnsi="Times New Roman" w:eastAsia="仿宋_GB2312"/>
          <w:sz w:val="32"/>
          <w:szCs w:val="32"/>
        </w:rPr>
        <w:t>%，林草植被恢复率</w:t>
      </w:r>
      <w:r>
        <w:rPr>
          <w:rFonts w:hint="eastAsia" w:ascii="Times New Roman" w:hAnsi="Times New Roman" w:eastAsia="仿宋_GB2312"/>
          <w:sz w:val="32"/>
          <w:szCs w:val="32"/>
        </w:rPr>
        <w:t>88%，</w:t>
      </w:r>
      <w:r>
        <w:rPr>
          <w:rFonts w:ascii="Times New Roman" w:hAnsi="Times New Roman" w:eastAsia="仿宋_GB2312"/>
          <w:sz w:val="32"/>
          <w:szCs w:val="32"/>
        </w:rPr>
        <w:t>林草覆盖率</w:t>
      </w:r>
      <w:r>
        <w:rPr>
          <w:rFonts w:hint="eastAsia" w:ascii="Times New Roman" w:hAnsi="Times New Roman" w:eastAsia="仿宋_GB2312"/>
          <w:sz w:val="32"/>
          <w:szCs w:val="32"/>
        </w:rPr>
        <w:t>4%，</w:t>
      </w:r>
      <w:r>
        <w:rPr>
          <w:rFonts w:ascii="Times New Roman" w:hAnsi="Times New Roman" w:eastAsia="仿宋_GB2312"/>
          <w:sz w:val="32"/>
          <w:szCs w:val="32"/>
        </w:rPr>
        <w:t>表土保护率</w:t>
      </w:r>
      <w:r>
        <w:rPr>
          <w:rFonts w:hint="eastAsia" w:ascii="Times New Roman" w:hAnsi="Times New Roman" w:eastAsia="仿宋_GB2312"/>
          <w:sz w:val="32"/>
          <w:szCs w:val="32"/>
        </w:rPr>
        <w:t>不作要求</w:t>
      </w:r>
      <w:r>
        <w:rPr>
          <w:rFonts w:ascii="Times New Roman" w:hAnsi="Times New Roman" w:eastAsia="仿宋_GB2312"/>
          <w:sz w:val="32"/>
          <w:szCs w:val="32"/>
        </w:rPr>
        <w:t>。</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（四）基本同意水土流失防治分区及其防治措施。</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（五）基本同意</w:t>
      </w:r>
      <w:r>
        <w:rPr>
          <w:rFonts w:hint="eastAsia" w:ascii="Times New Roman" w:hAnsi="Times New Roman" w:eastAsia="仿宋_GB2312"/>
          <w:sz w:val="32"/>
          <w:szCs w:val="32"/>
        </w:rPr>
        <w:t>建设期估算</w:t>
      </w:r>
      <w:r>
        <w:rPr>
          <w:rFonts w:ascii="Times New Roman" w:hAnsi="Times New Roman" w:eastAsia="仿宋_GB2312"/>
          <w:sz w:val="32"/>
          <w:szCs w:val="32"/>
        </w:rPr>
        <w:t>水土保持补偿费为12.23万元。</w:t>
      </w:r>
      <w:r>
        <w:rPr>
          <w:rFonts w:hint="eastAsia" w:ascii="Times New Roman" w:hAnsi="Times New Roman" w:eastAsia="仿宋_GB2312"/>
          <w:sz w:val="32"/>
          <w:szCs w:val="32"/>
        </w:rPr>
        <w:t>水土保持补偿费实际征收额由征收部门审核确定。</w:t>
      </w:r>
    </w:p>
    <w:p>
      <w:pPr>
        <w:adjustRightInd w:val="0"/>
        <w:snapToGrid w:val="0"/>
        <w:spacing w:line="62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二、生产建设单位在项目建设中应全面落实《中华人民共和国水土保持法》的相关要求，并重点做好以下工作</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按照批复的水土保持方案落实资金、监测、监理、管理等保证措施，做好水土保持初步设计、施工图设计、施工组织设计，加强对施工单位的监督和管理，明确水土流失防治责任，切实落实水土保持“三同时”制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严格按照批复的水土保持方案要求落实各项水土保持措施。各类施工活动要严格限定在用地范围内，严禁随意占压、扰动、破坏地表和植被；建设过程中产生的临时堆土要及时运至回填利用区域并进行防护，禁止随意倾倒；根据方案要求合理安排施工时序和水土保持措施实施进度，严格控制施工期间可能造成的水土流失。</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（三）切实做好水土保持监测工作，加强建设期水土流失动态监控，并按规定向兵团水利局</w:t>
      </w:r>
      <w:r>
        <w:rPr>
          <w:rFonts w:hint="eastAsia" w:ascii="Times New Roman" w:hAnsi="Times New Roman" w:eastAsia="仿宋_GB2312"/>
          <w:sz w:val="32"/>
          <w:szCs w:val="32"/>
        </w:rPr>
        <w:t>、</w:t>
      </w:r>
      <w:r>
        <w:rPr>
          <w:rFonts w:ascii="Times New Roman" w:hAnsi="Times New Roman" w:eastAsia="仿宋_GB2312"/>
          <w:sz w:val="32"/>
          <w:szCs w:val="32"/>
        </w:rPr>
        <w:t>第</w:t>
      </w:r>
      <w:r>
        <w:rPr>
          <w:rFonts w:hint="eastAsia" w:ascii="Times New Roman" w:hAnsi="Times New Roman" w:eastAsia="仿宋_GB2312"/>
          <w:sz w:val="32"/>
          <w:szCs w:val="32"/>
        </w:rPr>
        <w:t>四</w:t>
      </w:r>
      <w:r>
        <w:rPr>
          <w:rFonts w:ascii="Times New Roman" w:hAnsi="Times New Roman" w:eastAsia="仿宋_GB2312"/>
          <w:sz w:val="32"/>
          <w:szCs w:val="32"/>
        </w:rPr>
        <w:t>师水利局提交水土保持监测季度报告及总结报告。</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（四）落实并做好水土保持监理工作，确保水土保持工程建设质量和进度。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（五）依法依规足额缴纳水土保持补偿费。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三、水土保持方案变更有关要求</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（一）本项目的建设地点、规模如发生重大变化，或者水土保持方案实施过程中水土保持措施发生重大变更，建设单位应及时补充或者修改水土保持方案，报我局审批。</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w:t>
      </w:r>
      <w:r>
        <w:rPr>
          <w:rFonts w:hint="eastAsia" w:ascii="Times New Roman" w:hAnsi="Times New Roman" w:eastAsia="仿宋_GB2312"/>
          <w:sz w:val="32"/>
          <w:szCs w:val="32"/>
        </w:rPr>
        <w:t>需要新设弃渣场的，</w:t>
      </w:r>
      <w:r>
        <w:rPr>
          <w:rFonts w:ascii="Times New Roman" w:hAnsi="Times New Roman" w:eastAsia="仿宋_GB2312"/>
          <w:sz w:val="32"/>
          <w:szCs w:val="32"/>
        </w:rPr>
        <w:t>应当开展弃渣减量化、资源化论证，并在弃渣前编制水土保持方案补充报告，报我局审批。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四、其他</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本项目在竣工验收或投产使用前应通过水土保持设施自主验收；生产建设单位应当在水土保持设施自主验收通过后3个月内，向我局报备水土保持设施验收材料。水土保持设施未经验收或者验收不合格的，生产建设项目不得投产使用。</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（二）本项目存在违反《中华人民共和国水土保持法》第二十六条的规定，水土保持方案未经批准而开工建设的行为。生产建设单位要深刻吸取教训，严格执行水土保持法律法规，杜绝此类行为再次发生。</w:t>
      </w:r>
    </w:p>
    <w:p>
      <w:pPr>
        <w:adjustRightInd w:val="0"/>
        <w:snapToGrid w:val="0"/>
        <w:spacing w:line="6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w:t>
      </w:r>
      <w:r>
        <w:rPr>
          <w:rFonts w:ascii="Times New Roman" w:hAnsi="Times New Roman" w:eastAsia="仿宋_GB2312"/>
          <w:sz w:val="32"/>
          <w:szCs w:val="32"/>
        </w:rPr>
        <w:t>本</w:t>
      </w:r>
      <w:r>
        <w:rPr>
          <w:rFonts w:hint="eastAsia" w:ascii="Times New Roman" w:hAnsi="Times New Roman" w:eastAsia="仿宋_GB2312"/>
          <w:sz w:val="32"/>
          <w:szCs w:val="32"/>
        </w:rPr>
        <w:t>许可文件自批准之日起有效期限3年</w:t>
      </w:r>
      <w:r>
        <w:rPr>
          <w:rFonts w:ascii="Times New Roman" w:hAnsi="Times New Roman" w:eastAsia="仿宋_GB2312"/>
          <w:sz w:val="32"/>
          <w:szCs w:val="32"/>
        </w:rPr>
        <w:t>。</w:t>
      </w:r>
      <w:r>
        <w:rPr>
          <w:rFonts w:hint="eastAsia" w:ascii="Times New Roman" w:hAnsi="Times New Roman" w:eastAsia="仿宋_GB2312"/>
          <w:sz w:val="32"/>
          <w:szCs w:val="32"/>
        </w:rPr>
        <w:t>在许可文件有效期内未开工建设的，生产建设单位应在许可文件有效期满的30个工作日之前向我局申请重新审核。项目在许可文件有效期内未开工建设的，或虽提出重新审核申请但未批准的，本许可文件自动失效。</w:t>
      </w:r>
    </w:p>
    <w:p>
      <w:pPr>
        <w:rPr>
          <w:rFonts w:hint="eastAsia"/>
        </w:rPr>
      </w:pPr>
      <w:r>
        <w:rPr>
          <w:rFonts w:hint="eastAsia"/>
        </w:rPr>
        <w:br w:type="page"/>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w:t>
      </w:r>
      <w:r>
        <w:rPr>
          <w:rFonts w:hint="eastAsia" w:ascii="Times New Roman" w:hAnsi="Times New Roman" w:eastAsia="方正小标宋简体"/>
          <w:sz w:val="44"/>
          <w:szCs w:val="44"/>
        </w:rPr>
        <w:t>铁门关市5万吨兵团级储备粮仓储设施</w:t>
      </w:r>
    </w:p>
    <w:p>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建设项目</w:t>
      </w:r>
      <w:r>
        <w:rPr>
          <w:rFonts w:ascii="Times New Roman" w:hAnsi="Times New Roman" w:eastAsia="方正小标宋简体"/>
          <w:sz w:val="44"/>
          <w:szCs w:val="44"/>
        </w:rPr>
        <w:t>水土保持方案审批准予行政许可</w:t>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决定书</w:t>
      </w:r>
    </w:p>
    <w:p>
      <w:pPr>
        <w:pStyle w:val="2"/>
        <w:spacing w:line="560" w:lineRule="exact"/>
        <w:rPr>
          <w:rFonts w:ascii="Times New Roman" w:hAnsi="Times New Roman" w:eastAsia="方正小标宋_GBK"/>
          <w:sz w:val="44"/>
          <w:szCs w:val="44"/>
        </w:rPr>
      </w:pPr>
    </w:p>
    <w:p>
      <w:pPr>
        <w:pStyle w:val="2"/>
        <w:adjustRightInd w:val="0"/>
        <w:snapToGrid w:val="0"/>
        <w:spacing w:line="620" w:lineRule="exact"/>
        <w:rPr>
          <w:rFonts w:ascii="Times New Roman" w:hAnsi="Times New Roman" w:eastAsia="仿宋_GB2312"/>
          <w:sz w:val="32"/>
          <w:szCs w:val="32"/>
        </w:rPr>
      </w:pPr>
      <w:r>
        <w:rPr>
          <w:rFonts w:hint="eastAsia" w:ascii="Times New Roman" w:hAnsi="Times New Roman" w:eastAsia="仿宋_GB2312"/>
          <w:sz w:val="32"/>
          <w:szCs w:val="32"/>
        </w:rPr>
        <w:t>新疆生产建设兵团粮安储备粮管理有限责任公司</w:t>
      </w:r>
      <w:r>
        <w:rPr>
          <w:rFonts w:ascii="Times New Roman" w:hAnsi="Times New Roman" w:eastAsia="仿宋_GB2312"/>
          <w:sz w:val="32"/>
          <w:szCs w:val="32"/>
        </w:rPr>
        <w:t>：</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你单位《</w:t>
      </w:r>
      <w:r>
        <w:rPr>
          <w:rFonts w:hint="eastAsia" w:ascii="Times New Roman" w:hAnsi="Times New Roman" w:eastAsia="仿宋_GB2312"/>
          <w:sz w:val="32"/>
          <w:szCs w:val="32"/>
        </w:rPr>
        <w:t>关于申请审批铁门关市5万吨兵团级储备粮仓储设施建设项目水土保持方案的请示</w:t>
      </w:r>
      <w:r>
        <w:rPr>
          <w:rFonts w:ascii="Times New Roman" w:hAnsi="Times New Roman" w:eastAsia="仿宋_GB2312"/>
          <w:sz w:val="32"/>
          <w:szCs w:val="32"/>
        </w:rPr>
        <w:t>》收悉。我局组织有关专家对该项目水土保持方案报告书进行了技术评审，提出了评审意见（详见附件）。经审查，决定准予行政许可。</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一、水土保持方案总体意见</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（一）基本同意水土流失防治责任范围为</w:t>
      </w:r>
      <w:r>
        <w:rPr>
          <w:rFonts w:hint="eastAsia" w:ascii="Times New Roman" w:hAnsi="Times New Roman" w:eastAsia="仿宋_GB2312"/>
          <w:sz w:val="32"/>
          <w:szCs w:val="32"/>
        </w:rPr>
        <w:t>5.35</w:t>
      </w:r>
      <w:r>
        <w:rPr>
          <w:rFonts w:ascii="Times New Roman" w:hAnsi="Times New Roman" w:eastAsia="仿宋_GB2312"/>
          <w:sz w:val="32"/>
          <w:szCs w:val="32"/>
        </w:rPr>
        <w:t>公顷。</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（二）同意水土流失防治执行北方风沙区一级标准。</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（三）基本同意设计水平年水土流失综合防治目标为：水土流失治理度</w:t>
      </w:r>
      <w:r>
        <w:rPr>
          <w:rFonts w:hint="eastAsia" w:ascii="Times New Roman" w:hAnsi="Times New Roman" w:eastAsia="仿宋_GB2312"/>
          <w:sz w:val="32"/>
          <w:szCs w:val="32"/>
        </w:rPr>
        <w:t>80</w:t>
      </w:r>
      <w:r>
        <w:rPr>
          <w:rFonts w:ascii="Times New Roman" w:hAnsi="Times New Roman" w:eastAsia="仿宋_GB2312"/>
          <w:sz w:val="32"/>
          <w:szCs w:val="32"/>
        </w:rPr>
        <w:t>%，土壤流失控制比</w:t>
      </w:r>
      <w:r>
        <w:rPr>
          <w:rFonts w:hint="eastAsia" w:ascii="Times New Roman" w:hAnsi="Times New Roman" w:eastAsia="仿宋_GB2312"/>
          <w:sz w:val="32"/>
          <w:szCs w:val="32"/>
        </w:rPr>
        <w:t>1.0</w:t>
      </w:r>
      <w:r>
        <w:rPr>
          <w:rFonts w:ascii="Times New Roman" w:hAnsi="Times New Roman" w:eastAsia="仿宋_GB2312"/>
          <w:sz w:val="32"/>
          <w:szCs w:val="32"/>
        </w:rPr>
        <w:t>，渣土防护率</w:t>
      </w:r>
      <w:r>
        <w:rPr>
          <w:rFonts w:hint="eastAsia" w:ascii="Times New Roman" w:hAnsi="Times New Roman" w:eastAsia="仿宋_GB2312"/>
          <w:sz w:val="32"/>
          <w:szCs w:val="32"/>
        </w:rPr>
        <w:t>89</w:t>
      </w:r>
      <w:r>
        <w:rPr>
          <w:rFonts w:ascii="Times New Roman" w:hAnsi="Times New Roman" w:eastAsia="仿宋_GB2312"/>
          <w:sz w:val="32"/>
          <w:szCs w:val="32"/>
        </w:rPr>
        <w:t>%，林草植被恢复率</w:t>
      </w:r>
      <w:r>
        <w:rPr>
          <w:rFonts w:hint="eastAsia" w:ascii="Times New Roman" w:hAnsi="Times New Roman" w:eastAsia="仿宋_GB2312"/>
          <w:sz w:val="32"/>
          <w:szCs w:val="32"/>
        </w:rPr>
        <w:t>90%，</w:t>
      </w:r>
      <w:r>
        <w:rPr>
          <w:rFonts w:ascii="Times New Roman" w:hAnsi="Times New Roman" w:eastAsia="仿宋_GB2312"/>
          <w:sz w:val="32"/>
          <w:szCs w:val="32"/>
        </w:rPr>
        <w:t>林草覆盖率</w:t>
      </w:r>
      <w:r>
        <w:rPr>
          <w:rFonts w:hint="eastAsia" w:ascii="Times New Roman" w:hAnsi="Times New Roman" w:eastAsia="仿宋_GB2312"/>
          <w:sz w:val="32"/>
          <w:szCs w:val="32"/>
        </w:rPr>
        <w:t>12%，</w:t>
      </w:r>
      <w:r>
        <w:rPr>
          <w:rFonts w:ascii="Times New Roman" w:hAnsi="Times New Roman" w:eastAsia="仿宋_GB2312"/>
          <w:sz w:val="32"/>
          <w:szCs w:val="32"/>
        </w:rPr>
        <w:t>表土保护率</w:t>
      </w:r>
      <w:r>
        <w:rPr>
          <w:rFonts w:hint="eastAsia" w:ascii="Times New Roman" w:hAnsi="Times New Roman" w:eastAsia="仿宋_GB2312"/>
          <w:sz w:val="32"/>
          <w:szCs w:val="32"/>
        </w:rPr>
        <w:t>不作要求</w:t>
      </w:r>
      <w:r>
        <w:rPr>
          <w:rFonts w:ascii="Times New Roman" w:hAnsi="Times New Roman" w:eastAsia="仿宋_GB2312"/>
          <w:sz w:val="32"/>
          <w:szCs w:val="32"/>
        </w:rPr>
        <w:t>。</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（四）基本同意水土流失防治分区及其防治措施。</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（五）基本同意</w:t>
      </w:r>
      <w:r>
        <w:rPr>
          <w:rFonts w:hint="eastAsia" w:ascii="Times New Roman" w:hAnsi="Times New Roman" w:eastAsia="仿宋_GB2312"/>
          <w:sz w:val="32"/>
          <w:szCs w:val="32"/>
        </w:rPr>
        <w:t>建设期估算</w:t>
      </w:r>
      <w:r>
        <w:rPr>
          <w:rFonts w:ascii="Times New Roman" w:hAnsi="Times New Roman" w:eastAsia="仿宋_GB2312"/>
          <w:sz w:val="32"/>
          <w:szCs w:val="32"/>
        </w:rPr>
        <w:t>水土保持补偿费为</w:t>
      </w:r>
      <w:r>
        <w:rPr>
          <w:rFonts w:hint="eastAsia" w:ascii="Times New Roman" w:hAnsi="Times New Roman" w:eastAsia="仿宋_GB2312"/>
          <w:sz w:val="32"/>
          <w:szCs w:val="32"/>
        </w:rPr>
        <w:t>5.35</w:t>
      </w:r>
      <w:r>
        <w:rPr>
          <w:rFonts w:ascii="Times New Roman" w:hAnsi="Times New Roman" w:eastAsia="仿宋_GB2312"/>
          <w:sz w:val="32"/>
          <w:szCs w:val="32"/>
        </w:rPr>
        <w:t>万元。</w:t>
      </w:r>
      <w:r>
        <w:rPr>
          <w:rFonts w:hint="eastAsia" w:ascii="Times New Roman" w:hAnsi="Times New Roman" w:eastAsia="仿宋_GB2312"/>
          <w:sz w:val="32"/>
          <w:szCs w:val="32"/>
        </w:rPr>
        <w:t>水土保持补偿费实际征收额由征收部门审核确定。</w:t>
      </w:r>
    </w:p>
    <w:p>
      <w:pPr>
        <w:adjustRightInd w:val="0"/>
        <w:snapToGrid w:val="0"/>
        <w:spacing w:line="62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二、生产建设单位在项目建设中应全面落实《中华人民共和国水土保持法》的相关要求，并重点做好以下工作</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按照批复的水土保持方案落实资金、监测、监理、管理等保证措施，做好水土保持初步设计、施工图设计、施工组织设计，加强对施工单位的监督和管理，明确水土流失防治责任，切实落实水土保持“三同时”制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严格按照批复的水土保持方案要求落实各项水土保持措施。各类施工活动要严格限定在用地范围内，严禁随意占压、扰动、破坏地表和植被；建设过程中产生的临时堆土要及时运至回填利用区域并进行防护，禁止随意倾倒；做好弃渣综合利用，建设过程中产生的弃渣要及时运至方案确定的专门场地。根据方案要求合理安排施工时序和水土保持措施实施进度，严格控制施工期间可能造成的水土流失。</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（三）切实做好水土保持监测工作，加强建设期水土流失动态监控，并按规定向兵团水利局</w:t>
      </w:r>
      <w:r>
        <w:rPr>
          <w:rFonts w:hint="eastAsia" w:ascii="Times New Roman" w:hAnsi="Times New Roman" w:eastAsia="仿宋_GB2312"/>
          <w:sz w:val="32"/>
          <w:szCs w:val="32"/>
        </w:rPr>
        <w:t>、</w:t>
      </w:r>
      <w:r>
        <w:rPr>
          <w:rFonts w:ascii="Times New Roman" w:hAnsi="Times New Roman" w:eastAsia="仿宋_GB2312"/>
          <w:sz w:val="32"/>
          <w:szCs w:val="32"/>
        </w:rPr>
        <w:t>第</w:t>
      </w:r>
      <w:r>
        <w:rPr>
          <w:rFonts w:hint="eastAsia" w:ascii="Times New Roman" w:hAnsi="Times New Roman" w:eastAsia="仿宋_GB2312"/>
          <w:sz w:val="32"/>
          <w:szCs w:val="32"/>
        </w:rPr>
        <w:t>二</w:t>
      </w:r>
      <w:r>
        <w:rPr>
          <w:rFonts w:ascii="Times New Roman" w:hAnsi="Times New Roman" w:eastAsia="仿宋_GB2312"/>
          <w:sz w:val="32"/>
          <w:szCs w:val="32"/>
        </w:rPr>
        <w:t>师水利局提交水土保持监测季度报告及总结报告。</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（四）落实并做好水土保持监理工作，确保水土保持工程建设质量和进度。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（五）依法依规足额缴纳水土保持补偿费。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三、水土保持方案变更有关要求</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（一）本项目的建设地点、规模如发生重大变化，或者水土保持方案实施过程中水土保持措施发生重大变更，建设单位应及时补充或者修改水土保持方案，报我局审批。</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w:t>
      </w:r>
      <w:r>
        <w:rPr>
          <w:rFonts w:hint="eastAsia" w:ascii="Times New Roman" w:hAnsi="Times New Roman" w:eastAsia="仿宋_GB2312"/>
          <w:sz w:val="32"/>
          <w:szCs w:val="32"/>
        </w:rPr>
        <w:t>需要新设弃渣场的，</w:t>
      </w:r>
      <w:r>
        <w:rPr>
          <w:rFonts w:ascii="Times New Roman" w:hAnsi="Times New Roman" w:eastAsia="仿宋_GB2312"/>
          <w:sz w:val="32"/>
          <w:szCs w:val="32"/>
        </w:rPr>
        <w:t>应当开展弃渣减量化、资源化论证，并在弃渣前编制水土保持方案补充报告，报我局审批。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四、其他</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本项目在竣工验收或投产使用前应通过水土保持设施自主验收；生产建设单位应当在水土保持设施自主验收通过后3个月内，向我局报备水土保持设施验收材料。水土保持设施未经验收或者验收不合格的，生产建设项目不得投产使用。</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（二）本项目存在违反《中华人民共和国水土保持法》第二十六条的规定，水土保持方案未经批准而开工建设的行为。生产建设单位要深刻吸取教训，严格执行水土保持法律法规，杜绝此类行为再次发生。</w:t>
      </w:r>
    </w:p>
    <w:p>
      <w:pPr>
        <w:adjustRightInd w:val="0"/>
        <w:snapToGrid w:val="0"/>
        <w:spacing w:line="6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w:t>
      </w:r>
      <w:r>
        <w:rPr>
          <w:rFonts w:ascii="Times New Roman" w:hAnsi="Times New Roman" w:eastAsia="仿宋_GB2312"/>
          <w:sz w:val="32"/>
          <w:szCs w:val="32"/>
        </w:rPr>
        <w:t>本</w:t>
      </w:r>
      <w:r>
        <w:rPr>
          <w:rFonts w:hint="eastAsia" w:ascii="Times New Roman" w:hAnsi="Times New Roman" w:eastAsia="仿宋_GB2312"/>
          <w:sz w:val="32"/>
          <w:szCs w:val="32"/>
        </w:rPr>
        <w:t>许可文件自批准之日起有效期限3年</w:t>
      </w:r>
      <w:r>
        <w:rPr>
          <w:rFonts w:ascii="Times New Roman" w:hAnsi="Times New Roman" w:eastAsia="仿宋_GB2312"/>
          <w:sz w:val="32"/>
          <w:szCs w:val="32"/>
        </w:rPr>
        <w:t>。</w:t>
      </w:r>
      <w:r>
        <w:rPr>
          <w:rFonts w:hint="eastAsia" w:ascii="Times New Roman" w:hAnsi="Times New Roman" w:eastAsia="仿宋_GB2312"/>
          <w:sz w:val="32"/>
          <w:szCs w:val="32"/>
        </w:rPr>
        <w:t>在许可文件有效期内未开工建设的，生产建设单位应在许可文件有效期满的30个工作日之前向我局申请重新审核。项目在许可文件有效期内未开工建设的，或虽提出重新审核申请但未批准的，本许可文件自动失效。</w:t>
      </w:r>
    </w:p>
    <w:p>
      <w:pPr>
        <w:rPr>
          <w:rFonts w:hint="eastAsia"/>
        </w:rPr>
      </w:pPr>
      <w:r>
        <w:rPr>
          <w:rFonts w:hint="eastAsia"/>
        </w:rPr>
        <w:br w:type="page"/>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w:t>
      </w:r>
      <w:r>
        <w:rPr>
          <w:rFonts w:hint="eastAsia" w:ascii="Times New Roman" w:hAnsi="Times New Roman" w:eastAsia="方正小标宋简体"/>
          <w:sz w:val="44"/>
          <w:szCs w:val="44"/>
        </w:rPr>
        <w:t>第九师166团-168团-165团公路项目</w:t>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水土保持方案审批准予行政许可决定书</w:t>
      </w:r>
    </w:p>
    <w:p>
      <w:pPr>
        <w:pStyle w:val="2"/>
        <w:spacing w:line="560" w:lineRule="exact"/>
        <w:rPr>
          <w:rFonts w:ascii="Times New Roman" w:hAnsi="Times New Roman" w:eastAsia="方正小标宋_GBK"/>
          <w:sz w:val="44"/>
          <w:szCs w:val="44"/>
        </w:rPr>
      </w:pPr>
    </w:p>
    <w:p>
      <w:pPr>
        <w:pStyle w:val="2"/>
        <w:adjustRightInd w:val="0"/>
        <w:snapToGrid w:val="0"/>
        <w:spacing w:line="620" w:lineRule="exact"/>
        <w:rPr>
          <w:rFonts w:ascii="Times New Roman" w:hAnsi="Times New Roman" w:eastAsia="仿宋_GB2312"/>
          <w:sz w:val="32"/>
          <w:szCs w:val="32"/>
        </w:rPr>
      </w:pPr>
      <w:r>
        <w:rPr>
          <w:rFonts w:hint="eastAsia" w:ascii="Times New Roman" w:hAnsi="Times New Roman" w:eastAsia="仿宋_GB2312"/>
          <w:sz w:val="32"/>
          <w:szCs w:val="32"/>
        </w:rPr>
        <w:t>新疆生产建设兵团第九师交通运输事业发展中心</w:t>
      </w:r>
      <w:r>
        <w:rPr>
          <w:rFonts w:ascii="Times New Roman" w:hAnsi="Times New Roman" w:eastAsia="仿宋_GB2312"/>
          <w:sz w:val="32"/>
          <w:szCs w:val="32"/>
        </w:rPr>
        <w:t>：</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你单位《</w:t>
      </w:r>
      <w:r>
        <w:rPr>
          <w:rFonts w:hint="eastAsia" w:ascii="Times New Roman" w:hAnsi="Times New Roman" w:eastAsia="仿宋_GB2312"/>
          <w:sz w:val="32"/>
          <w:szCs w:val="32"/>
        </w:rPr>
        <w:t>关于申请审批第九师166团-168团-165团公路项目水土保持方案的函</w:t>
      </w:r>
      <w:r>
        <w:rPr>
          <w:rFonts w:ascii="Times New Roman" w:hAnsi="Times New Roman" w:eastAsia="仿宋_GB2312"/>
          <w:sz w:val="32"/>
          <w:szCs w:val="32"/>
        </w:rPr>
        <w:t>》收悉。我局组织有关专家对该项目水土保持方案报告书进行了技术评审，提出了评审意见（详见附件）。经审查，决定准予行政许可。</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一、水土保持方案总体意见</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（一）基本同意水土流失防治责任范围为280.37公顷。</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（二）同意水土流失防治执行北方风沙区一级标准。</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（三）基本同意设计水平年水土流失综合防治目标为：水土流失治理度</w:t>
      </w:r>
      <w:r>
        <w:rPr>
          <w:rFonts w:hint="eastAsia" w:ascii="Times New Roman" w:hAnsi="Times New Roman" w:eastAsia="仿宋_GB2312"/>
          <w:sz w:val="32"/>
          <w:szCs w:val="32"/>
        </w:rPr>
        <w:t>82</w:t>
      </w:r>
      <w:r>
        <w:rPr>
          <w:rFonts w:ascii="Times New Roman" w:hAnsi="Times New Roman" w:eastAsia="仿宋_GB2312"/>
          <w:sz w:val="32"/>
          <w:szCs w:val="32"/>
        </w:rPr>
        <w:t>%，土壤流失控制比</w:t>
      </w:r>
      <w:r>
        <w:rPr>
          <w:rFonts w:hint="eastAsia" w:ascii="Times New Roman" w:hAnsi="Times New Roman" w:eastAsia="仿宋_GB2312"/>
          <w:sz w:val="32"/>
          <w:szCs w:val="32"/>
        </w:rPr>
        <w:t>1.0</w:t>
      </w:r>
      <w:r>
        <w:rPr>
          <w:rFonts w:ascii="Times New Roman" w:hAnsi="Times New Roman" w:eastAsia="仿宋_GB2312"/>
          <w:sz w:val="32"/>
          <w:szCs w:val="32"/>
        </w:rPr>
        <w:t>，渣土防护率</w:t>
      </w:r>
      <w:r>
        <w:rPr>
          <w:rFonts w:hint="eastAsia" w:ascii="Times New Roman" w:hAnsi="Times New Roman" w:eastAsia="仿宋_GB2312"/>
          <w:sz w:val="32"/>
          <w:szCs w:val="32"/>
        </w:rPr>
        <w:t>89</w:t>
      </w:r>
      <w:r>
        <w:rPr>
          <w:rFonts w:ascii="Times New Roman" w:hAnsi="Times New Roman" w:eastAsia="仿宋_GB2312"/>
          <w:sz w:val="32"/>
          <w:szCs w:val="32"/>
        </w:rPr>
        <w:t>%，表土保护率</w:t>
      </w:r>
      <w:r>
        <w:rPr>
          <w:rFonts w:hint="eastAsia" w:ascii="Times New Roman" w:hAnsi="Times New Roman" w:eastAsia="仿宋_GB2312"/>
          <w:sz w:val="32"/>
          <w:szCs w:val="32"/>
        </w:rPr>
        <w:t>90%，</w:t>
      </w:r>
      <w:r>
        <w:rPr>
          <w:rFonts w:ascii="Times New Roman" w:hAnsi="Times New Roman" w:eastAsia="仿宋_GB2312"/>
          <w:sz w:val="32"/>
          <w:szCs w:val="32"/>
        </w:rPr>
        <w:t>林草植被恢复率</w:t>
      </w:r>
      <w:r>
        <w:rPr>
          <w:rFonts w:hint="eastAsia" w:ascii="Times New Roman" w:hAnsi="Times New Roman" w:eastAsia="仿宋_GB2312"/>
          <w:sz w:val="32"/>
          <w:szCs w:val="32"/>
        </w:rPr>
        <w:t>90%，</w:t>
      </w:r>
      <w:r>
        <w:rPr>
          <w:rFonts w:ascii="Times New Roman" w:hAnsi="Times New Roman" w:eastAsia="仿宋_GB2312"/>
          <w:sz w:val="32"/>
          <w:szCs w:val="32"/>
        </w:rPr>
        <w:t>林草覆盖率</w:t>
      </w:r>
      <w:r>
        <w:rPr>
          <w:rFonts w:hint="eastAsia" w:ascii="Times New Roman" w:hAnsi="Times New Roman" w:eastAsia="仿宋_GB2312"/>
          <w:sz w:val="32"/>
          <w:szCs w:val="32"/>
        </w:rPr>
        <w:t>18%</w:t>
      </w:r>
      <w:r>
        <w:rPr>
          <w:rFonts w:ascii="Times New Roman" w:hAnsi="Times New Roman" w:eastAsia="仿宋_GB2312"/>
          <w:sz w:val="32"/>
          <w:szCs w:val="32"/>
        </w:rPr>
        <w:t>。</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（四）基本同意水土流失防治分区及其防治措施。</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（五）基本同意</w:t>
      </w:r>
      <w:r>
        <w:rPr>
          <w:rFonts w:hint="eastAsia" w:ascii="Times New Roman" w:hAnsi="Times New Roman" w:eastAsia="仿宋_GB2312"/>
          <w:sz w:val="32"/>
          <w:szCs w:val="32"/>
        </w:rPr>
        <w:t>建设期估算</w:t>
      </w:r>
      <w:r>
        <w:rPr>
          <w:rFonts w:ascii="Times New Roman" w:hAnsi="Times New Roman" w:eastAsia="仿宋_GB2312"/>
          <w:sz w:val="32"/>
          <w:szCs w:val="32"/>
        </w:rPr>
        <w:t>水土保持补偿费为280.37万元。</w:t>
      </w:r>
      <w:r>
        <w:rPr>
          <w:rFonts w:hint="eastAsia" w:ascii="Times New Roman" w:hAnsi="Times New Roman" w:eastAsia="仿宋_GB2312"/>
          <w:sz w:val="32"/>
          <w:szCs w:val="32"/>
        </w:rPr>
        <w:t>水土保持补偿费实际征收额由征收部门审核确定。</w:t>
      </w:r>
    </w:p>
    <w:p>
      <w:pPr>
        <w:adjustRightInd w:val="0"/>
        <w:snapToGrid w:val="0"/>
        <w:spacing w:line="62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二、生产建设单位在项目建设中应全面落实《中华人民共和国水土保持法》的相关要求，并重点做好以下工作</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按照批复的水土保持方案落实资金、监测、监理、管理等保证措施，做好水土保持初步设计、施工图设计、施工组织设计，加强对施工单位的监督和管理，明确水土流失防治责任，切实落实水土保持“三同时”制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严格按照批复的水土保持方案要求落实各项水土保持措施。各类施工活动要严格限定在用地范围内，严禁随意占压、扰动、破坏地表和植被；建设过程中产生的临时堆土要及时运至回填利用区域并进行防护，禁止随意倾倒；做好弃渣综合利用，建设过程中产生的弃渣要及时运至方案确定的专门场地。根据方案要求合理安排施工时序和水土保持措施实施进度，严格控制施工期间可能造成的水土流失。</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（三）切实做好水土保持监测工作，加强建设期水土流失动态监控，并按规定向兵团水利局</w:t>
      </w:r>
      <w:r>
        <w:rPr>
          <w:rFonts w:hint="eastAsia" w:ascii="Times New Roman" w:hAnsi="Times New Roman" w:eastAsia="仿宋_GB2312"/>
          <w:sz w:val="32"/>
          <w:szCs w:val="32"/>
        </w:rPr>
        <w:t>、</w:t>
      </w:r>
      <w:r>
        <w:rPr>
          <w:rFonts w:ascii="Times New Roman" w:hAnsi="Times New Roman" w:eastAsia="仿宋_GB2312"/>
          <w:sz w:val="32"/>
          <w:szCs w:val="32"/>
        </w:rPr>
        <w:t>第</w:t>
      </w:r>
      <w:r>
        <w:rPr>
          <w:rFonts w:hint="eastAsia" w:ascii="Times New Roman" w:hAnsi="Times New Roman" w:eastAsia="仿宋_GB2312"/>
          <w:sz w:val="32"/>
          <w:szCs w:val="32"/>
        </w:rPr>
        <w:t>九</w:t>
      </w:r>
      <w:r>
        <w:rPr>
          <w:rFonts w:ascii="Times New Roman" w:hAnsi="Times New Roman" w:eastAsia="仿宋_GB2312"/>
          <w:sz w:val="32"/>
          <w:szCs w:val="32"/>
        </w:rPr>
        <w:t>师水利局提交水土保持监测季度报告及总结报告。</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（四）落实并做好水土保持监理工作，确保水土保持工程建设质量和进度。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（五）依法依规足额缴纳水土保持补偿费。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三、水土保持方案变更有关要求</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（一）本项目的建设地点、规模如发生重大变化，或者水土保持方案实施过程中水土保持措施发生重大变更，建设单位应及时补充或者修改水土保持方案，报我局审批。</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（二）在水土保持方案确定的弃渣场以外新设弃渣场的，或者因弃渣量增加导致等级提高的</w:t>
      </w:r>
      <w:r>
        <w:rPr>
          <w:rFonts w:hint="eastAsia" w:ascii="Times New Roman" w:hAnsi="Times New Roman" w:eastAsia="仿宋_GB2312"/>
          <w:sz w:val="32"/>
          <w:szCs w:val="32"/>
        </w:rPr>
        <w:t>，</w:t>
      </w:r>
      <w:r>
        <w:rPr>
          <w:rFonts w:ascii="Times New Roman" w:hAnsi="Times New Roman" w:eastAsia="仿宋_GB2312"/>
          <w:sz w:val="32"/>
          <w:szCs w:val="32"/>
        </w:rPr>
        <w:t>应当开展弃渣减量化、资源化论证，并在弃渣前编制水土保持方案补充报告，报我局审批。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四、其他</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本项目在竣工验收或投产使用前应通过水土保持设施自主验收；生产建设单位应当在水土保持设施自主验收通过后3个月内，向我局报备水土保持设施验收材料。水土保持设施未经验收或者验收不合格的，生产建设项目不得投产使用。</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（二）本</w:t>
      </w:r>
      <w:r>
        <w:rPr>
          <w:rFonts w:hint="eastAsia" w:ascii="Times New Roman" w:hAnsi="Times New Roman" w:eastAsia="仿宋_GB2312"/>
          <w:sz w:val="32"/>
          <w:szCs w:val="32"/>
        </w:rPr>
        <w:t>许可文件自批准之日起有效期限3年</w:t>
      </w:r>
      <w:r>
        <w:rPr>
          <w:rFonts w:ascii="Times New Roman" w:hAnsi="Times New Roman" w:eastAsia="仿宋_GB2312"/>
          <w:sz w:val="32"/>
          <w:szCs w:val="32"/>
        </w:rPr>
        <w:t>。</w:t>
      </w:r>
      <w:r>
        <w:rPr>
          <w:rFonts w:hint="eastAsia" w:ascii="Times New Roman" w:hAnsi="Times New Roman" w:eastAsia="仿宋_GB2312"/>
          <w:sz w:val="32"/>
          <w:szCs w:val="32"/>
        </w:rPr>
        <w:t>在许可文件有效期内未开工建设的，生产建设单位应在许可文件有效期满的30个工作日之前向我局申请重新审核。项目在许可文件有效期内未开工建设的，或虽提出重新审核申请但未批准的，本许可文件自动失效。</w:t>
      </w:r>
    </w:p>
    <w:p>
      <w:pPr>
        <w:rPr>
          <w:rFonts w:hint="eastAsia"/>
        </w:rPr>
      </w:pPr>
      <w:r>
        <w:rPr>
          <w:rFonts w:hint="eastAsia"/>
        </w:rPr>
        <w:br w:type="page"/>
      </w:r>
    </w:p>
    <w:p>
      <w:pPr>
        <w:spacing w:line="560" w:lineRule="exact"/>
        <w:rPr>
          <w:rFonts w:ascii="Times New Roman" w:hAnsi="Times New Roman" w:eastAsia="方正小标宋_GBK"/>
          <w:sz w:val="44"/>
          <w:szCs w:val="44"/>
        </w:rPr>
      </w:pP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关于</w:t>
      </w:r>
      <w:r>
        <w:rPr>
          <w:rFonts w:hint="eastAsia" w:ascii="Times New Roman" w:hAnsi="Times New Roman" w:eastAsia="方正小标宋简体"/>
          <w:sz w:val="44"/>
          <w:szCs w:val="44"/>
        </w:rPr>
        <w:t>新疆新星淖烟铁路物流有限公司骆驼圈子工业园专用铁路项目</w:t>
      </w:r>
      <w:r>
        <w:rPr>
          <w:rFonts w:ascii="Times New Roman" w:hAnsi="Times New Roman" w:eastAsia="方正小标宋简体"/>
          <w:sz w:val="44"/>
          <w:szCs w:val="44"/>
        </w:rPr>
        <w:t>水土保持方案</w:t>
      </w:r>
      <w:r>
        <w:rPr>
          <w:rFonts w:hint="eastAsia" w:ascii="Times New Roman" w:hAnsi="Times New Roman" w:eastAsia="方正小标宋简体"/>
          <w:sz w:val="44"/>
          <w:szCs w:val="44"/>
        </w:rPr>
        <w:t>变更</w:t>
      </w:r>
      <w:r>
        <w:rPr>
          <w:rFonts w:ascii="Times New Roman" w:hAnsi="Times New Roman" w:eastAsia="方正小标宋简体"/>
          <w:sz w:val="44"/>
          <w:szCs w:val="44"/>
        </w:rPr>
        <w:t>审批</w:t>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准予行政许可决定书</w:t>
      </w:r>
    </w:p>
    <w:p>
      <w:pPr>
        <w:pStyle w:val="2"/>
        <w:spacing w:line="560" w:lineRule="exact"/>
        <w:rPr>
          <w:rFonts w:ascii="Times New Roman" w:hAnsi="Times New Roman" w:eastAsia="方正小标宋_GBK"/>
          <w:sz w:val="44"/>
          <w:szCs w:val="44"/>
        </w:rPr>
      </w:pPr>
    </w:p>
    <w:p>
      <w:pPr>
        <w:pStyle w:val="2"/>
        <w:adjustRightInd w:val="0"/>
        <w:snapToGrid w:val="0"/>
        <w:spacing w:line="620" w:lineRule="exact"/>
        <w:rPr>
          <w:rFonts w:ascii="Times New Roman" w:hAnsi="Times New Roman" w:eastAsia="仿宋_GB2312"/>
          <w:sz w:val="32"/>
          <w:szCs w:val="32"/>
        </w:rPr>
      </w:pPr>
      <w:r>
        <w:rPr>
          <w:rFonts w:hint="eastAsia" w:ascii="Times New Roman" w:hAnsi="Times New Roman" w:eastAsia="仿宋_GB2312"/>
          <w:sz w:val="32"/>
          <w:szCs w:val="32"/>
        </w:rPr>
        <w:t>新疆新星淖烟铁路物流有限公司</w:t>
      </w:r>
      <w:r>
        <w:rPr>
          <w:rFonts w:ascii="Times New Roman" w:hAnsi="Times New Roman" w:eastAsia="仿宋_GB2312"/>
          <w:sz w:val="32"/>
          <w:szCs w:val="32"/>
        </w:rPr>
        <w:t>：</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你单位《</w:t>
      </w:r>
      <w:r>
        <w:rPr>
          <w:rFonts w:hint="eastAsia" w:ascii="Times New Roman" w:hAnsi="Times New Roman" w:eastAsia="仿宋_GB2312"/>
          <w:sz w:val="32"/>
          <w:szCs w:val="32"/>
        </w:rPr>
        <w:t>新疆新星淖烟铁路物流有限公司关于申请审批新疆新星淖烟铁路物流有限公司骆驼圈子工业园专用铁路项目项目水土保持方案变更的函</w:t>
      </w:r>
      <w:r>
        <w:rPr>
          <w:rFonts w:ascii="Times New Roman" w:hAnsi="Times New Roman" w:eastAsia="仿宋_GB2312"/>
          <w:sz w:val="32"/>
          <w:szCs w:val="32"/>
        </w:rPr>
        <w:t>》收悉。我局组织有关专家对该项目水土保持方案报告书进行了技术评审，提出了评审意见（详见附件）。经审查，决定准予行政许可。</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一、水土保持方案总体意见</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（一）基本同意水土流失防治责任范围为532.78公顷。</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（二）同意水土流失防治执行北方风沙区一级标准。</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（三）基本同意设计水平年水土流失综合防治目标为：水土流失治理度</w:t>
      </w:r>
      <w:r>
        <w:rPr>
          <w:rFonts w:hint="eastAsia" w:ascii="Times New Roman" w:hAnsi="Times New Roman" w:eastAsia="仿宋_GB2312"/>
          <w:sz w:val="32"/>
          <w:szCs w:val="32"/>
        </w:rPr>
        <w:t>80</w:t>
      </w:r>
      <w:r>
        <w:rPr>
          <w:rFonts w:ascii="Times New Roman" w:hAnsi="Times New Roman" w:eastAsia="仿宋_GB2312"/>
          <w:sz w:val="32"/>
          <w:szCs w:val="32"/>
        </w:rPr>
        <w:t>%，土壤流失控制比</w:t>
      </w:r>
      <w:r>
        <w:rPr>
          <w:rFonts w:hint="eastAsia" w:ascii="Times New Roman" w:hAnsi="Times New Roman" w:eastAsia="仿宋_GB2312"/>
          <w:sz w:val="32"/>
          <w:szCs w:val="32"/>
        </w:rPr>
        <w:t>1.0</w:t>
      </w:r>
      <w:r>
        <w:rPr>
          <w:rFonts w:ascii="Times New Roman" w:hAnsi="Times New Roman" w:eastAsia="仿宋_GB2312"/>
          <w:sz w:val="32"/>
          <w:szCs w:val="32"/>
        </w:rPr>
        <w:t>，渣土防护率</w:t>
      </w:r>
      <w:r>
        <w:rPr>
          <w:rFonts w:hint="eastAsia" w:ascii="Times New Roman" w:hAnsi="Times New Roman" w:eastAsia="仿宋_GB2312"/>
          <w:sz w:val="32"/>
          <w:szCs w:val="32"/>
        </w:rPr>
        <w:t>89</w:t>
      </w:r>
      <w:r>
        <w:rPr>
          <w:rFonts w:ascii="Times New Roman" w:hAnsi="Times New Roman" w:eastAsia="仿宋_GB2312"/>
          <w:sz w:val="32"/>
          <w:szCs w:val="32"/>
        </w:rPr>
        <w:t>%，表土保护率</w:t>
      </w:r>
      <w:r>
        <w:rPr>
          <w:rFonts w:hint="eastAsia" w:ascii="Times New Roman" w:hAnsi="Times New Roman" w:eastAsia="仿宋_GB2312"/>
          <w:sz w:val="32"/>
          <w:szCs w:val="32"/>
        </w:rPr>
        <w:t>90%，</w:t>
      </w:r>
      <w:r>
        <w:rPr>
          <w:rFonts w:ascii="Times New Roman" w:hAnsi="Times New Roman" w:eastAsia="仿宋_GB2312"/>
          <w:sz w:val="32"/>
          <w:szCs w:val="32"/>
        </w:rPr>
        <w:t>林草植被恢复率85%，林草覆盖率12</w:t>
      </w:r>
      <w:r>
        <w:rPr>
          <w:rFonts w:hint="eastAsia" w:ascii="Times New Roman" w:hAnsi="Times New Roman" w:eastAsia="仿宋_GB2312"/>
          <w:sz w:val="32"/>
          <w:szCs w:val="32"/>
        </w:rPr>
        <w:t>%</w:t>
      </w:r>
      <w:r>
        <w:rPr>
          <w:rFonts w:ascii="Times New Roman" w:hAnsi="Times New Roman" w:eastAsia="仿宋_GB2312"/>
          <w:sz w:val="32"/>
          <w:szCs w:val="32"/>
        </w:rPr>
        <w:t>。</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（四）基本同意水土流失防治分区及其防治措施。</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（五）基本同意</w:t>
      </w:r>
      <w:r>
        <w:rPr>
          <w:rFonts w:hint="eastAsia" w:ascii="Times New Roman" w:hAnsi="Times New Roman" w:eastAsia="仿宋_GB2312"/>
          <w:sz w:val="32"/>
          <w:szCs w:val="32"/>
        </w:rPr>
        <w:t>建设期估算</w:t>
      </w:r>
      <w:r>
        <w:rPr>
          <w:rFonts w:ascii="Times New Roman" w:hAnsi="Times New Roman" w:eastAsia="仿宋_GB2312"/>
          <w:sz w:val="32"/>
          <w:szCs w:val="32"/>
        </w:rPr>
        <w:t>水土保持补偿费为453.25万元。</w:t>
      </w:r>
      <w:r>
        <w:rPr>
          <w:rFonts w:hint="eastAsia" w:ascii="Times New Roman" w:hAnsi="Times New Roman" w:eastAsia="仿宋_GB2312"/>
          <w:sz w:val="32"/>
          <w:szCs w:val="32"/>
        </w:rPr>
        <w:t>水土保持补偿费实际征收额由征收部门审核确定。</w:t>
      </w:r>
    </w:p>
    <w:p>
      <w:pPr>
        <w:adjustRightInd w:val="0"/>
        <w:snapToGrid w:val="0"/>
        <w:spacing w:line="62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二、生产建设单位在项目建设中应全面落实《中华人民共和国水土保持法》的相关要求，并重点做好以下工作</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按照批复的水土保持方案落实资金、监测、监理、管理等保证措施，做好水土保持初步设计、施工图设计、施工组织设计，加强对施工单位的监督和管理，明确水土流失防治责任，切实落实水土保持“三同时”制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严格按照批复的水土保持方案要求落实各项水土保持措施。各类施工活动要严格限定在用地范围内，严禁随意占压、扰动、破坏地表和植被；建设过程中产生的临时堆土要及时运至回填利用区域并进行防护，禁止随意倾倒；做好弃渣综合利用，建设过程中产生的弃渣要及时运至方案确定的专门场地。根据方案要求合理安排施工时序和水土保持措施实施进度，严格控制施工期间可能造成的水土流失。</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（三）切实做好水土保持监测工作，加强建设期水土流失动态监控，并按规定向兵团水利局</w:t>
      </w:r>
      <w:r>
        <w:rPr>
          <w:rFonts w:hint="eastAsia" w:ascii="Times New Roman" w:hAnsi="Times New Roman" w:eastAsia="仿宋_GB2312"/>
          <w:sz w:val="32"/>
          <w:szCs w:val="32"/>
        </w:rPr>
        <w:t>、</w:t>
      </w:r>
      <w:r>
        <w:rPr>
          <w:rFonts w:ascii="Times New Roman" w:hAnsi="Times New Roman" w:eastAsia="仿宋_GB2312"/>
          <w:sz w:val="32"/>
          <w:szCs w:val="32"/>
        </w:rPr>
        <w:t>第</w:t>
      </w:r>
      <w:r>
        <w:rPr>
          <w:rFonts w:hint="eastAsia" w:ascii="Times New Roman" w:hAnsi="Times New Roman" w:eastAsia="仿宋_GB2312"/>
          <w:sz w:val="32"/>
          <w:szCs w:val="32"/>
        </w:rPr>
        <w:t>十三</w:t>
      </w:r>
      <w:r>
        <w:rPr>
          <w:rFonts w:ascii="Times New Roman" w:hAnsi="Times New Roman" w:eastAsia="仿宋_GB2312"/>
          <w:sz w:val="32"/>
          <w:szCs w:val="32"/>
        </w:rPr>
        <w:t>师水利局提交水土保持监测季度报告及总结报告。</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（四）落实并做好水土保持监理工作，确保水土保持工程建设质量和进度。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（五）依法依规足额缴纳水土保持补偿费</w:t>
      </w:r>
      <w:r>
        <w:rPr>
          <w:rFonts w:hint="eastAsia" w:ascii="Times New Roman" w:hAnsi="Times New Roman" w:eastAsia="仿宋_GB2312"/>
          <w:sz w:val="32"/>
          <w:szCs w:val="32"/>
        </w:rPr>
        <w:t>。</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三、水土保持方案变更有关要求</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（一）本项目的建设地点、规模如发生重大变化，或者水土保持方案实施过程中水土保持措施发生重大变更，建设单位应及时补充或者修改水土保持方案，报我局审批。</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w:t>
      </w:r>
      <w:r>
        <w:rPr>
          <w:rFonts w:hint="eastAsia" w:ascii="Times New Roman" w:hAnsi="Times New Roman" w:eastAsia="仿宋_GB2312"/>
          <w:sz w:val="32"/>
          <w:szCs w:val="32"/>
        </w:rPr>
        <w:t>需要新设弃渣场的，</w:t>
      </w:r>
      <w:r>
        <w:rPr>
          <w:rFonts w:ascii="Times New Roman" w:hAnsi="Times New Roman" w:eastAsia="仿宋_GB2312"/>
          <w:sz w:val="32"/>
          <w:szCs w:val="32"/>
        </w:rPr>
        <w:t>应当开展弃渣减量化、资源化论证，并在弃渣前编制水土保持方案补充报告，报我局审批。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四、其他</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本项目在竣工验收或投产使用前应通过水土保持设施自主验收；生产建设单位应当在水土保持设施自主验收通过后3个月内，向我局报备水土保持设施验收材料。水土保持设施未经验收或者验收不合格的，生产建设项目不得投产使用。</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（二）本项目存在违反《中华人民共和国水土保持法》第二十六条的规定，水土保持方案未经批准而开工建设的行为。生产建设单位要深刻吸取教训，严格执行水土保持法律法规，杜绝此类行为再次发生。</w:t>
      </w:r>
    </w:p>
    <w:p>
      <w:pPr>
        <w:adjustRightInd w:val="0"/>
        <w:snapToGrid w:val="0"/>
        <w:spacing w:line="6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w:t>
      </w:r>
      <w:r>
        <w:rPr>
          <w:rFonts w:ascii="Times New Roman" w:hAnsi="Times New Roman" w:eastAsia="仿宋_GB2312"/>
          <w:sz w:val="32"/>
          <w:szCs w:val="32"/>
        </w:rPr>
        <w:t>本</w:t>
      </w:r>
      <w:r>
        <w:rPr>
          <w:rFonts w:hint="eastAsia" w:ascii="Times New Roman" w:hAnsi="Times New Roman" w:eastAsia="仿宋_GB2312"/>
          <w:sz w:val="32"/>
          <w:szCs w:val="32"/>
        </w:rPr>
        <w:t>许可文件自批准之日起有效期限3年</w:t>
      </w:r>
      <w:r>
        <w:rPr>
          <w:rFonts w:ascii="Times New Roman" w:hAnsi="Times New Roman" w:eastAsia="仿宋_GB2312"/>
          <w:sz w:val="32"/>
          <w:szCs w:val="32"/>
        </w:rPr>
        <w:t>。</w:t>
      </w:r>
      <w:r>
        <w:rPr>
          <w:rFonts w:hint="eastAsia" w:ascii="Times New Roman" w:hAnsi="Times New Roman" w:eastAsia="仿宋_GB2312"/>
          <w:sz w:val="32"/>
          <w:szCs w:val="32"/>
        </w:rPr>
        <w:t>在许可文件有效期内未开工建设的，生产建设单位应在许可文件有效期满的30个工作日之前向我局申请重新审核。项目在许可文件有效期内未开工建设的，或虽提出重新审核申请但未批准的，本许可文件自动失效。</w:t>
      </w:r>
    </w:p>
    <w:p>
      <w:pPr>
        <w:rPr>
          <w:rFonts w:hint="eastAsia"/>
        </w:rPr>
      </w:pPr>
      <w:r>
        <w:rPr>
          <w:rFonts w:hint="eastAsia"/>
        </w:rPr>
        <w:br w:type="page"/>
      </w:r>
    </w:p>
    <w:p>
      <w:pPr>
        <w:spacing w:line="560" w:lineRule="exact"/>
        <w:jc w:val="center"/>
        <w:rPr>
          <w:rFonts w:hint="eastAsia" w:ascii="Times New Roman" w:hAnsi="Times New Roman" w:eastAsia="方正小标宋简体"/>
          <w:sz w:val="44"/>
          <w:szCs w:val="44"/>
        </w:rPr>
      </w:pPr>
      <w:r>
        <w:rPr>
          <w:rFonts w:ascii="Times New Roman" w:hAnsi="Times New Roman" w:eastAsia="方正小标宋简体"/>
          <w:sz w:val="44"/>
          <w:szCs w:val="44"/>
        </w:rPr>
        <w:t>关于</w:t>
      </w:r>
      <w:r>
        <w:rPr>
          <w:rFonts w:hint="eastAsia" w:ascii="Times New Roman" w:hAnsi="Times New Roman" w:eastAsia="方正小标宋简体"/>
          <w:sz w:val="44"/>
          <w:szCs w:val="44"/>
        </w:rPr>
        <w:t>第八师石玛兵地融合陕建100万千瓦</w:t>
      </w:r>
    </w:p>
    <w:p>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“草光互补”光伏项目</w:t>
      </w:r>
      <w:r>
        <w:rPr>
          <w:rFonts w:ascii="Times New Roman" w:hAnsi="Times New Roman" w:eastAsia="方正小标宋简体"/>
          <w:sz w:val="44"/>
          <w:szCs w:val="44"/>
        </w:rPr>
        <w:t>水土保持方案审批</w:t>
      </w:r>
    </w:p>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准予行政许可决定书</w:t>
      </w:r>
    </w:p>
    <w:p>
      <w:pPr>
        <w:pStyle w:val="2"/>
        <w:spacing w:line="560" w:lineRule="exact"/>
        <w:rPr>
          <w:rFonts w:ascii="Times New Roman" w:hAnsi="Times New Roman" w:eastAsia="方正小标宋_GBK"/>
          <w:sz w:val="44"/>
          <w:szCs w:val="44"/>
        </w:rPr>
      </w:pPr>
    </w:p>
    <w:p>
      <w:pPr>
        <w:pStyle w:val="2"/>
        <w:adjustRightInd w:val="0"/>
        <w:snapToGrid w:val="0"/>
        <w:spacing w:line="620" w:lineRule="exact"/>
        <w:rPr>
          <w:rFonts w:ascii="Times New Roman" w:hAnsi="Times New Roman" w:eastAsia="仿宋_GB2312"/>
          <w:sz w:val="32"/>
          <w:szCs w:val="32"/>
        </w:rPr>
      </w:pPr>
      <w:r>
        <w:rPr>
          <w:rFonts w:hint="eastAsia" w:ascii="Times New Roman" w:hAnsi="Times New Roman" w:eastAsia="仿宋_GB2312"/>
          <w:sz w:val="32"/>
          <w:szCs w:val="32"/>
        </w:rPr>
        <w:t>陕建新能源（玛纳斯）有限公司</w:t>
      </w:r>
      <w:r>
        <w:rPr>
          <w:rFonts w:ascii="Times New Roman" w:hAnsi="Times New Roman" w:eastAsia="仿宋_GB2312"/>
          <w:sz w:val="32"/>
          <w:szCs w:val="32"/>
        </w:rPr>
        <w:t>：</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你单位《</w:t>
      </w:r>
      <w:r>
        <w:rPr>
          <w:rFonts w:hint="eastAsia" w:ascii="Times New Roman" w:hAnsi="Times New Roman" w:eastAsia="仿宋_GB2312"/>
          <w:sz w:val="32"/>
          <w:szCs w:val="32"/>
        </w:rPr>
        <w:t>关于申请审批第八师石玛兵地融合陕建100万千瓦“草光互补”光伏项目水土保持方案的函</w:t>
      </w:r>
      <w:r>
        <w:rPr>
          <w:rFonts w:ascii="Times New Roman" w:hAnsi="Times New Roman" w:eastAsia="仿宋_GB2312"/>
          <w:sz w:val="32"/>
          <w:szCs w:val="32"/>
        </w:rPr>
        <w:t>》收悉。我局组织有关专家对该项目水土保持方案报告书进行了技术评审，提出了评审意见（详见附件）。经审查，决定准予行政许可。</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一、水土保持方案总体意见</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（一）基本同意水土流失防治责任范围为1386.12公顷。</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（二）同意水土流失防治执行北方风沙区一级标准。</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（三）基本同意设计水平年水土流失综合防治目标为：水土流失治理度</w:t>
      </w:r>
      <w:r>
        <w:rPr>
          <w:rFonts w:hint="eastAsia" w:ascii="Times New Roman" w:hAnsi="Times New Roman" w:eastAsia="仿宋_GB2312"/>
          <w:sz w:val="32"/>
          <w:szCs w:val="32"/>
        </w:rPr>
        <w:t>85</w:t>
      </w:r>
      <w:r>
        <w:rPr>
          <w:rFonts w:ascii="Times New Roman" w:hAnsi="Times New Roman" w:eastAsia="仿宋_GB2312"/>
          <w:sz w:val="32"/>
          <w:szCs w:val="32"/>
        </w:rPr>
        <w:t>%，土壤流失控制比</w:t>
      </w:r>
      <w:r>
        <w:rPr>
          <w:rFonts w:hint="eastAsia" w:ascii="Times New Roman" w:hAnsi="Times New Roman" w:eastAsia="仿宋_GB2312"/>
          <w:sz w:val="32"/>
          <w:szCs w:val="32"/>
        </w:rPr>
        <w:t>1.0</w:t>
      </w:r>
      <w:r>
        <w:rPr>
          <w:rFonts w:ascii="Times New Roman" w:hAnsi="Times New Roman" w:eastAsia="仿宋_GB2312"/>
          <w:sz w:val="32"/>
          <w:szCs w:val="32"/>
        </w:rPr>
        <w:t>，渣土防护率</w:t>
      </w:r>
      <w:r>
        <w:rPr>
          <w:rFonts w:hint="eastAsia" w:ascii="Times New Roman" w:hAnsi="Times New Roman" w:eastAsia="仿宋_GB2312"/>
          <w:sz w:val="32"/>
          <w:szCs w:val="32"/>
        </w:rPr>
        <w:t>87</w:t>
      </w:r>
      <w:r>
        <w:rPr>
          <w:rFonts w:ascii="Times New Roman" w:hAnsi="Times New Roman" w:eastAsia="仿宋_GB2312"/>
          <w:sz w:val="32"/>
          <w:szCs w:val="32"/>
        </w:rPr>
        <w:t>%，表土保护率</w:t>
      </w:r>
      <w:r>
        <w:rPr>
          <w:rFonts w:hint="eastAsia" w:ascii="Times New Roman" w:hAnsi="Times New Roman" w:eastAsia="仿宋_GB2312"/>
          <w:sz w:val="32"/>
          <w:szCs w:val="32"/>
        </w:rPr>
        <w:t>、</w:t>
      </w:r>
      <w:r>
        <w:rPr>
          <w:rFonts w:ascii="Times New Roman" w:hAnsi="Times New Roman" w:eastAsia="仿宋_GB2312"/>
          <w:sz w:val="32"/>
          <w:szCs w:val="32"/>
        </w:rPr>
        <w:t>林草植被恢复率</w:t>
      </w:r>
      <w:r>
        <w:rPr>
          <w:rFonts w:hint="eastAsia" w:ascii="Times New Roman" w:hAnsi="Times New Roman" w:eastAsia="仿宋_GB2312"/>
          <w:sz w:val="32"/>
          <w:szCs w:val="32"/>
        </w:rPr>
        <w:t>和</w:t>
      </w:r>
      <w:r>
        <w:rPr>
          <w:rFonts w:ascii="Times New Roman" w:hAnsi="Times New Roman" w:eastAsia="仿宋_GB2312"/>
          <w:sz w:val="32"/>
          <w:szCs w:val="32"/>
        </w:rPr>
        <w:t>林草覆盖率</w:t>
      </w:r>
      <w:r>
        <w:rPr>
          <w:rFonts w:hint="eastAsia" w:ascii="Times New Roman" w:hAnsi="Times New Roman" w:eastAsia="仿宋_GB2312"/>
          <w:sz w:val="32"/>
          <w:szCs w:val="32"/>
        </w:rPr>
        <w:t>不作要求</w:t>
      </w:r>
      <w:r>
        <w:rPr>
          <w:rFonts w:ascii="Times New Roman" w:hAnsi="Times New Roman" w:eastAsia="仿宋_GB2312"/>
          <w:sz w:val="32"/>
          <w:szCs w:val="32"/>
        </w:rPr>
        <w:t>。</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（四）基本同意水土流失防治分区及其防治措施。</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（五）基本同意</w:t>
      </w:r>
      <w:r>
        <w:rPr>
          <w:rFonts w:hint="eastAsia" w:ascii="Times New Roman" w:hAnsi="Times New Roman" w:eastAsia="仿宋_GB2312"/>
          <w:sz w:val="32"/>
          <w:szCs w:val="32"/>
        </w:rPr>
        <w:t>建设期估算</w:t>
      </w:r>
      <w:r>
        <w:rPr>
          <w:rFonts w:ascii="Times New Roman" w:hAnsi="Times New Roman" w:eastAsia="仿宋_GB2312"/>
          <w:sz w:val="32"/>
          <w:szCs w:val="32"/>
        </w:rPr>
        <w:t>水土保持补偿费为1386.12万元。</w:t>
      </w:r>
      <w:r>
        <w:rPr>
          <w:rFonts w:hint="eastAsia" w:ascii="Times New Roman" w:hAnsi="Times New Roman" w:eastAsia="仿宋_GB2312"/>
          <w:sz w:val="32"/>
          <w:szCs w:val="32"/>
        </w:rPr>
        <w:t>水土保持补偿费实际征收额由征收部门审核确定。</w:t>
      </w:r>
    </w:p>
    <w:p>
      <w:pPr>
        <w:adjustRightInd w:val="0"/>
        <w:snapToGrid w:val="0"/>
        <w:spacing w:line="62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二、生产建设单位在项目建设中应全面落实《中华人民共和国水土保持法》的相关要求，并重点做好以下工作</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按照批复的水土保持方案落实资金、监测、监理、管理等保证措施，做好水土保持初步设计、施工图设计、施工组织设计，加强对施工单位的监督和管理，明确水土流失防治责任，切实落实水土保持“三同时”制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严格按照批复的水土保持方案要求落实各项水土保持措施。各类施工活动要严格限定在用地范围内，严禁随意占压、扰动、破坏地表和植被；建设过程中产生的临时堆土要及时运至回填利用区域并进行防护，禁止随意倾倒；根据方案要求合理安排施工时序和水土保持措施实施进度，严格控制施工期间可能造成的水土流失。</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（三）切实做好水土保持监测工作，加强建设期水土流失动态监控，并按规定向兵团水利局</w:t>
      </w:r>
      <w:r>
        <w:rPr>
          <w:rFonts w:hint="eastAsia" w:ascii="Times New Roman" w:hAnsi="Times New Roman" w:eastAsia="仿宋_GB2312"/>
          <w:sz w:val="32"/>
          <w:szCs w:val="32"/>
        </w:rPr>
        <w:t>、</w:t>
      </w:r>
      <w:r>
        <w:rPr>
          <w:rFonts w:ascii="Times New Roman" w:hAnsi="Times New Roman" w:eastAsia="仿宋_GB2312"/>
          <w:sz w:val="32"/>
          <w:szCs w:val="32"/>
        </w:rPr>
        <w:t>第</w:t>
      </w:r>
      <w:r>
        <w:rPr>
          <w:rFonts w:hint="eastAsia" w:ascii="Times New Roman" w:hAnsi="Times New Roman" w:eastAsia="仿宋_GB2312"/>
          <w:sz w:val="32"/>
          <w:szCs w:val="32"/>
        </w:rPr>
        <w:t>八</w:t>
      </w:r>
      <w:r>
        <w:rPr>
          <w:rFonts w:ascii="Times New Roman" w:hAnsi="Times New Roman" w:eastAsia="仿宋_GB2312"/>
          <w:sz w:val="32"/>
          <w:szCs w:val="32"/>
        </w:rPr>
        <w:t>师水利局提交水土保持监测季度报告及总结报告。</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（四）落实并做好水土保持监理工作，确保水土保持工程建设质量和进度。</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（五）依法依规足额缴纳水土保持补偿费。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三、水土保持方案变更有关要求</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（一）本项目的建设地点、规模如发生重大变化，或者水土保持方案实施过程中水土保持措施发生重大变更，建设单位应及时补充或者修改水土保持方案，报我局审批。</w:t>
      </w:r>
    </w:p>
    <w:p>
      <w:pPr>
        <w:adjustRightInd w:val="0"/>
        <w:snapToGrid w:val="0"/>
        <w:spacing w:line="620" w:lineRule="exact"/>
        <w:ind w:firstLine="480" w:firstLineChars="150"/>
        <w:rPr>
          <w:rFonts w:ascii="Times New Roman" w:hAnsi="Times New Roman" w:eastAsia="仿宋_GB2312"/>
          <w:sz w:val="32"/>
          <w:szCs w:val="32"/>
        </w:rPr>
      </w:pPr>
      <w:r>
        <w:rPr>
          <w:rFonts w:ascii="Times New Roman" w:hAnsi="Times New Roman" w:eastAsia="仿宋_GB2312"/>
          <w:sz w:val="32"/>
          <w:szCs w:val="32"/>
        </w:rPr>
        <w:t>（二）</w:t>
      </w:r>
      <w:r>
        <w:rPr>
          <w:rFonts w:hint="eastAsia" w:ascii="Times New Roman" w:hAnsi="Times New Roman" w:eastAsia="仿宋_GB2312"/>
          <w:sz w:val="32"/>
          <w:szCs w:val="32"/>
        </w:rPr>
        <w:t>需要新设弃渣场的，</w:t>
      </w:r>
      <w:r>
        <w:rPr>
          <w:rFonts w:ascii="Times New Roman" w:hAnsi="Times New Roman" w:eastAsia="仿宋_GB2312"/>
          <w:sz w:val="32"/>
          <w:szCs w:val="32"/>
        </w:rPr>
        <w:t>应当开展弃渣减量化、资源化论证，并在弃渣前编制水土保持方案补充报告，报我局审批。</w:t>
      </w:r>
    </w:p>
    <w:p>
      <w:pPr>
        <w:adjustRightInd w:val="0"/>
        <w:snapToGrid w:val="0"/>
        <w:spacing w:line="620" w:lineRule="exact"/>
        <w:ind w:firstLine="640" w:firstLineChars="200"/>
        <w:rPr>
          <w:rFonts w:ascii="Times New Roman" w:hAnsi="Times New Roman" w:eastAsia="黑体"/>
          <w:sz w:val="32"/>
          <w:szCs w:val="32"/>
        </w:rPr>
      </w:pPr>
      <w:r>
        <w:rPr>
          <w:rFonts w:ascii="Times New Roman" w:hAnsi="Times New Roman" w:eastAsia="黑体"/>
          <w:sz w:val="32"/>
          <w:szCs w:val="32"/>
        </w:rPr>
        <w:t>四、其他</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本项目在竣工验收或投产使用前应通过水土保持设施自主验收；生产建设单位应当在水土保持设施自主验收通过后3个月内，向我局报备水土保持设施验收材料。水土保持设施未经验收或者验收不合格的，生产建设项目不得投产使用。</w:t>
      </w:r>
    </w:p>
    <w:p>
      <w:pPr>
        <w:adjustRightInd w:val="0"/>
        <w:snapToGrid w:val="0"/>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（二）本</w:t>
      </w:r>
      <w:r>
        <w:rPr>
          <w:rFonts w:hint="eastAsia" w:ascii="Times New Roman" w:hAnsi="Times New Roman" w:eastAsia="仿宋_GB2312"/>
          <w:sz w:val="32"/>
          <w:szCs w:val="32"/>
        </w:rPr>
        <w:t>许可文件自批准之日起有效期限3年</w:t>
      </w:r>
      <w:r>
        <w:rPr>
          <w:rFonts w:ascii="Times New Roman" w:hAnsi="Times New Roman" w:eastAsia="仿宋_GB2312"/>
          <w:sz w:val="32"/>
          <w:szCs w:val="32"/>
        </w:rPr>
        <w:t>。</w:t>
      </w:r>
      <w:r>
        <w:rPr>
          <w:rFonts w:hint="eastAsia" w:ascii="Times New Roman" w:hAnsi="Times New Roman" w:eastAsia="仿宋_GB2312"/>
          <w:sz w:val="32"/>
          <w:szCs w:val="32"/>
        </w:rPr>
        <w:t>在许可文件有效期内未开工建设的，生产建设单位应在许可文件有效期满的30个工作日之前向我局申请重新审核。项目在许可文件有效期内未开工建设的，或虽提出重新审核申请但未批准的，本许可文件自动失效。</w:t>
      </w:r>
    </w:p>
    <w:p>
      <w:pPr>
        <w:rPr>
          <w:rFonts w:hint="eastAsia"/>
        </w:rPr>
      </w:pPr>
      <w:r>
        <w:rPr>
          <w:rFonts w:hint="eastAsia"/>
        </w:rPr>
        <w:br w:type="page"/>
      </w:r>
    </w:p>
    <w:p>
      <w:pPr>
        <w:spacing w:line="560" w:lineRule="exact"/>
        <w:jc w:val="center"/>
        <w:rPr>
          <w:rFonts w:ascii="Times New Roman" w:hAnsi="Times New Roman" w:eastAsia="方正小标宋简体"/>
          <w:color w:val="auto"/>
          <w:sz w:val="44"/>
          <w:szCs w:val="44"/>
          <w:highlight w:val="none"/>
        </w:rPr>
      </w:pPr>
      <w:r>
        <w:rPr>
          <w:rFonts w:ascii="Times New Roman" w:hAnsi="Times New Roman" w:eastAsia="方正小标宋简体"/>
          <w:color w:val="auto"/>
          <w:sz w:val="44"/>
          <w:szCs w:val="44"/>
          <w:highlight w:val="none"/>
        </w:rPr>
        <w:t>关于</w:t>
      </w:r>
      <w:r>
        <w:rPr>
          <w:rFonts w:hint="eastAsia" w:ascii="Times New Roman" w:hAnsi="Times New Roman" w:eastAsia="方正小标宋简体"/>
          <w:color w:val="auto"/>
          <w:sz w:val="44"/>
          <w:szCs w:val="44"/>
          <w:highlight w:val="none"/>
        </w:rPr>
        <w:t>G575-第十三师红山农场头道白杨沟草场-岔哈泉公路</w:t>
      </w:r>
      <w:r>
        <w:rPr>
          <w:rFonts w:ascii="Times New Roman" w:hAnsi="Times New Roman" w:eastAsia="方正小标宋简体"/>
          <w:color w:val="auto"/>
          <w:sz w:val="44"/>
          <w:szCs w:val="44"/>
          <w:highlight w:val="none"/>
        </w:rPr>
        <w:t>水土保持方案审批准予行政许可</w:t>
      </w:r>
    </w:p>
    <w:p>
      <w:pPr>
        <w:spacing w:line="560" w:lineRule="exact"/>
        <w:jc w:val="center"/>
        <w:rPr>
          <w:rFonts w:ascii="Times New Roman" w:hAnsi="Times New Roman" w:eastAsia="方正小标宋简体"/>
          <w:color w:val="auto"/>
          <w:sz w:val="44"/>
          <w:szCs w:val="44"/>
          <w:highlight w:val="none"/>
        </w:rPr>
      </w:pPr>
      <w:r>
        <w:rPr>
          <w:rFonts w:ascii="Times New Roman" w:hAnsi="Times New Roman" w:eastAsia="方正小标宋简体"/>
          <w:color w:val="auto"/>
          <w:sz w:val="44"/>
          <w:szCs w:val="44"/>
          <w:highlight w:val="none"/>
        </w:rPr>
        <w:t>决定书</w:t>
      </w:r>
    </w:p>
    <w:p>
      <w:pPr>
        <w:pStyle w:val="2"/>
        <w:spacing w:line="560" w:lineRule="exact"/>
        <w:rPr>
          <w:rFonts w:ascii="Times New Roman" w:hAnsi="Times New Roman" w:eastAsia="方正小标宋_GBK"/>
          <w:color w:val="auto"/>
          <w:sz w:val="44"/>
          <w:szCs w:val="44"/>
          <w:highlight w:val="none"/>
        </w:rPr>
      </w:pPr>
    </w:p>
    <w:p>
      <w:pPr>
        <w:pStyle w:val="2"/>
        <w:adjustRightInd w:val="0"/>
        <w:snapToGrid w:val="0"/>
        <w:spacing w:line="620" w:lineRule="exact"/>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新疆生产建设兵团第十三师交通运输事业发展中心</w:t>
      </w:r>
      <w:r>
        <w:rPr>
          <w:rFonts w:ascii="Times New Roman" w:hAnsi="Times New Roman" w:eastAsia="仿宋_GB2312"/>
          <w:color w:val="auto"/>
          <w:sz w:val="32"/>
          <w:szCs w:val="32"/>
          <w:highlight w:val="none"/>
        </w:rPr>
        <w:t>：</w:t>
      </w:r>
    </w:p>
    <w:p>
      <w:pPr>
        <w:adjustRightInd w:val="0"/>
        <w:snapToGrid w:val="0"/>
        <w:spacing w:line="620" w:lineRule="exact"/>
        <w:ind w:firstLine="640" w:firstLineChars="20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你单位《</w:t>
      </w:r>
      <w:r>
        <w:rPr>
          <w:rFonts w:hint="eastAsia" w:ascii="Times New Roman" w:hAnsi="Times New Roman" w:eastAsia="仿宋_GB2312"/>
          <w:color w:val="auto"/>
          <w:sz w:val="32"/>
          <w:szCs w:val="32"/>
          <w:highlight w:val="none"/>
        </w:rPr>
        <w:t>关于对G575-第十三师红山农场头道白杨沟草场-岔哈泉公路水土保持方案审查的申请</w:t>
      </w:r>
      <w:r>
        <w:rPr>
          <w:rFonts w:ascii="Times New Roman" w:hAnsi="Times New Roman" w:eastAsia="仿宋_GB2312"/>
          <w:color w:val="auto"/>
          <w:sz w:val="32"/>
          <w:szCs w:val="32"/>
          <w:highlight w:val="none"/>
        </w:rPr>
        <w:t>》收悉。我局组织有关专家对该项目水土保持方案报告书进行了技术评审，提出了评审意见（详见附件）。经审查，决定准予行政许可。</w:t>
      </w:r>
    </w:p>
    <w:p>
      <w:pPr>
        <w:adjustRightInd w:val="0"/>
        <w:snapToGrid w:val="0"/>
        <w:spacing w:line="620" w:lineRule="exact"/>
        <w:ind w:firstLine="640" w:firstLineChars="200"/>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一、水土保持方案总体意见</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（一）基本同意水土流失防治责任范围为</w:t>
      </w:r>
      <w:r>
        <w:rPr>
          <w:rFonts w:hint="default" w:ascii="Times New Roman" w:hAnsi="Times New Roman" w:eastAsia="仿宋_GB2312"/>
          <w:color w:val="auto"/>
          <w:sz w:val="32"/>
          <w:szCs w:val="32"/>
          <w:highlight w:val="none"/>
          <w:lang w:val="en-US"/>
        </w:rPr>
        <w:t>445.92</w:t>
      </w:r>
      <w:r>
        <w:rPr>
          <w:rFonts w:ascii="Times New Roman" w:hAnsi="Times New Roman" w:eastAsia="仿宋_GB2312"/>
          <w:color w:val="auto"/>
          <w:sz w:val="32"/>
          <w:szCs w:val="32"/>
          <w:highlight w:val="none"/>
        </w:rPr>
        <w:t>公顷。</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（二）同意水土流失防治执行北方风沙区一级标准。</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（三）基本同意设计水平年水土流失综合防治目标为：水土流失治理度</w:t>
      </w:r>
      <w:r>
        <w:rPr>
          <w:rFonts w:hint="eastAsia" w:ascii="Times New Roman" w:hAnsi="Times New Roman" w:eastAsia="仿宋_GB2312"/>
          <w:color w:val="auto"/>
          <w:sz w:val="32"/>
          <w:szCs w:val="32"/>
          <w:highlight w:val="none"/>
        </w:rPr>
        <w:t>8</w:t>
      </w:r>
      <w:r>
        <w:rPr>
          <w:rFonts w:hint="default" w:ascii="Times New Roman" w:hAnsi="Times New Roman" w:eastAsia="仿宋_GB2312"/>
          <w:color w:val="auto"/>
          <w:sz w:val="32"/>
          <w:szCs w:val="32"/>
          <w:highlight w:val="none"/>
          <w:lang w:val="en-US"/>
        </w:rPr>
        <w:t>5</w:t>
      </w:r>
      <w:r>
        <w:rPr>
          <w:rFonts w:ascii="Times New Roman" w:hAnsi="Times New Roman" w:eastAsia="仿宋_GB2312"/>
          <w:color w:val="auto"/>
          <w:sz w:val="32"/>
          <w:szCs w:val="32"/>
          <w:highlight w:val="none"/>
        </w:rPr>
        <w:t>%，土壤流失控制比</w:t>
      </w:r>
      <w:r>
        <w:rPr>
          <w:rFonts w:hint="eastAsia" w:ascii="Times New Roman" w:hAnsi="Times New Roman" w:eastAsia="仿宋_GB2312"/>
          <w:color w:val="auto"/>
          <w:sz w:val="32"/>
          <w:szCs w:val="32"/>
          <w:highlight w:val="none"/>
        </w:rPr>
        <w:t>1.0</w:t>
      </w:r>
      <w:r>
        <w:rPr>
          <w:rFonts w:ascii="Times New Roman" w:hAnsi="Times New Roman" w:eastAsia="仿宋_GB2312"/>
          <w:color w:val="auto"/>
          <w:sz w:val="32"/>
          <w:szCs w:val="32"/>
          <w:highlight w:val="none"/>
        </w:rPr>
        <w:t>，渣土防护率</w:t>
      </w:r>
      <w:r>
        <w:rPr>
          <w:rFonts w:hint="eastAsia" w:ascii="Times New Roman" w:hAnsi="Times New Roman" w:eastAsia="仿宋_GB2312"/>
          <w:color w:val="auto"/>
          <w:sz w:val="32"/>
          <w:szCs w:val="32"/>
          <w:highlight w:val="none"/>
        </w:rPr>
        <w:t>87</w:t>
      </w:r>
      <w:r>
        <w:rPr>
          <w:rFonts w:ascii="Times New Roman" w:hAnsi="Times New Roman" w:eastAsia="仿宋_GB2312"/>
          <w:color w:val="auto"/>
          <w:sz w:val="32"/>
          <w:szCs w:val="32"/>
          <w:highlight w:val="none"/>
        </w:rPr>
        <w:t>%，表土保护率</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林草植被恢复率</w:t>
      </w:r>
      <w:r>
        <w:rPr>
          <w:rFonts w:hint="eastAsia" w:ascii="Times New Roman" w:hAnsi="Times New Roman" w:eastAsia="仿宋_GB2312"/>
          <w:color w:val="auto"/>
          <w:sz w:val="32"/>
          <w:szCs w:val="32"/>
          <w:highlight w:val="none"/>
        </w:rPr>
        <w:t>和</w:t>
      </w:r>
      <w:r>
        <w:rPr>
          <w:rFonts w:ascii="Times New Roman" w:hAnsi="Times New Roman" w:eastAsia="仿宋_GB2312"/>
          <w:color w:val="auto"/>
          <w:sz w:val="32"/>
          <w:szCs w:val="32"/>
          <w:highlight w:val="none"/>
        </w:rPr>
        <w:t>林草覆盖率</w:t>
      </w:r>
      <w:r>
        <w:rPr>
          <w:rFonts w:hint="eastAsia" w:ascii="Times New Roman" w:hAnsi="Times New Roman" w:eastAsia="仿宋_GB2312"/>
          <w:color w:val="auto"/>
          <w:sz w:val="32"/>
          <w:szCs w:val="32"/>
          <w:highlight w:val="none"/>
        </w:rPr>
        <w:t>不作要求</w:t>
      </w:r>
      <w:r>
        <w:rPr>
          <w:rFonts w:ascii="Times New Roman" w:hAnsi="Times New Roman" w:eastAsia="仿宋_GB2312"/>
          <w:color w:val="auto"/>
          <w:sz w:val="32"/>
          <w:szCs w:val="32"/>
          <w:highlight w:val="none"/>
        </w:rPr>
        <w:t>。</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（四）基本同意水土流失防治分区及其防治措施。</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（五）基本同意</w:t>
      </w:r>
      <w:r>
        <w:rPr>
          <w:rFonts w:hint="eastAsia" w:ascii="Times New Roman" w:hAnsi="Times New Roman" w:eastAsia="仿宋_GB2312"/>
          <w:color w:val="auto"/>
          <w:sz w:val="32"/>
          <w:szCs w:val="32"/>
          <w:highlight w:val="none"/>
        </w:rPr>
        <w:t>建设期估算</w:t>
      </w:r>
      <w:r>
        <w:rPr>
          <w:rFonts w:ascii="Times New Roman" w:hAnsi="Times New Roman" w:eastAsia="仿宋_GB2312"/>
          <w:color w:val="auto"/>
          <w:sz w:val="32"/>
          <w:szCs w:val="32"/>
          <w:highlight w:val="none"/>
        </w:rPr>
        <w:t>水土保持补偿费为</w:t>
      </w:r>
      <w:r>
        <w:rPr>
          <w:rFonts w:hint="default" w:ascii="Times New Roman" w:hAnsi="Times New Roman" w:eastAsia="仿宋_GB2312"/>
          <w:color w:val="auto"/>
          <w:sz w:val="32"/>
          <w:szCs w:val="32"/>
          <w:highlight w:val="none"/>
          <w:lang w:val="en-US"/>
        </w:rPr>
        <w:t>445.92</w:t>
      </w:r>
      <w:r>
        <w:rPr>
          <w:rFonts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水土保持补偿费实际征收额由征收部门审核确定。</w:t>
      </w:r>
    </w:p>
    <w:p>
      <w:pPr>
        <w:adjustRightInd w:val="0"/>
        <w:snapToGrid w:val="0"/>
        <w:spacing w:line="620" w:lineRule="exact"/>
        <w:ind w:firstLine="640" w:firstLineChars="200"/>
        <w:outlineLvl w:val="0"/>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二、生产建设单位在项目建设中应全面落实《中华人民共和国水土保持法》的相关要求，并重点做好以下工作</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一）按照批复的水土保持方案落实资金、监测、监理、管理等保证措施，做好水土保持初步设计、施工图设计、施工组织设计，加强对施工单位的监督和管理，明确水土流失防治责任，切实落实水土保持“三同时”制度。</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二）严格按照批复的水土保持方案要求落实各项水土保持措施。各类施工活动要严格限定在用地范围内，严禁随意占压、扰动、破坏地表和植被；建设过程中产生的临时堆土要及时运至回填利用区域并进行防护，禁止随意倾倒；做好弃渣综合利用，建设过程中产生的弃渣要及时运至方案确定的专门场地。根据方案要求合理安排施工时序和水土保持措施实施进度，严格控制施工期间可能造成的水土流失。</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（三）切实做好水土保持监测工作，加强建设期水土流失动态监控，并按规定向兵团水利局</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第</w:t>
      </w:r>
      <w:r>
        <w:rPr>
          <w:rFonts w:hint="eastAsia" w:ascii="Times New Roman" w:hAnsi="Times New Roman" w:eastAsia="仿宋_GB2312"/>
          <w:color w:val="auto"/>
          <w:sz w:val="32"/>
          <w:szCs w:val="32"/>
          <w:highlight w:val="none"/>
        </w:rPr>
        <w:t>十三</w:t>
      </w:r>
      <w:r>
        <w:rPr>
          <w:rFonts w:ascii="Times New Roman" w:hAnsi="Times New Roman" w:eastAsia="仿宋_GB2312"/>
          <w:color w:val="auto"/>
          <w:sz w:val="32"/>
          <w:szCs w:val="32"/>
          <w:highlight w:val="none"/>
        </w:rPr>
        <w:t>师水利局提交水土保持监测季度报告及总结报告。</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（四）落实并做好水土保持监理工作，确保水土保持工程建设质量和进度。</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（五）依法依规足额缴纳水土保持补偿费。</w:t>
      </w:r>
    </w:p>
    <w:p>
      <w:pPr>
        <w:adjustRightInd w:val="0"/>
        <w:snapToGrid w:val="0"/>
        <w:spacing w:line="620" w:lineRule="exact"/>
        <w:ind w:firstLine="640" w:firstLineChars="200"/>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三、水土保持方案变更有关要求</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（一）本项目的建设地点、规模如发生重大变化，或者水土保持方案实施过程中水土保持措施发生重大变更，建设单位应及时补充或者修改水土保持方案，报我局审批。</w:t>
      </w:r>
    </w:p>
    <w:p>
      <w:pPr>
        <w:adjustRightInd w:val="0"/>
        <w:snapToGrid w:val="0"/>
        <w:spacing w:line="620" w:lineRule="exact"/>
        <w:ind w:firstLine="480" w:firstLineChars="15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（二）在水土保持方案确定的弃渣场以外新设弃渣场的，或者因弃渣量增加导致等级提高的</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应当开展弃渣减量化、资源化论证，并在弃渣前编制水土保持方案补充报告，报我局审批。</w:t>
      </w:r>
    </w:p>
    <w:p>
      <w:pPr>
        <w:adjustRightInd w:val="0"/>
        <w:snapToGrid w:val="0"/>
        <w:spacing w:line="620" w:lineRule="exact"/>
        <w:ind w:firstLine="640" w:firstLineChars="200"/>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四、其他</w:t>
      </w:r>
    </w:p>
    <w:p>
      <w:pPr>
        <w:adjustRightInd w:val="0"/>
        <w:snapToGrid w:val="0"/>
        <w:spacing w:line="620" w:lineRule="exact"/>
        <w:ind w:firstLine="640" w:firstLineChars="20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一）本项目在竣工验收或投产使用前应通过水土保持设施自主验收；生产建设单位应当在水土保持设施自主验收通过后3个月内，向我局报备水土保持设施验收材料。水土保持设施未经验收或者验收不合格的，生产建设项目不得投产使用。</w:t>
      </w:r>
    </w:p>
    <w:p>
      <w:pPr>
        <w:adjustRightInd w:val="0"/>
        <w:snapToGrid w:val="0"/>
        <w:spacing w:line="620" w:lineRule="exact"/>
        <w:ind w:firstLine="640" w:firstLineChars="20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（二）本项目存在违反《中华人民共和国水土保持法》第二十六条的规定，水土保持方案未经批准而开工建设的行为。生产建设单位要深刻吸取教训，严格执行水土保持法律法规，杜绝此类行为再次发生。</w:t>
      </w:r>
    </w:p>
    <w:p>
      <w:pPr>
        <w:rPr>
          <w:rFonts w:hint="eastAsia"/>
        </w:rPr>
      </w:pPr>
      <w:r>
        <w:rPr>
          <w:rFonts w:hint="eastAsia" w:ascii="Times New Roman" w:hAnsi="Times New Roman" w:eastAsia="仿宋_GB2312"/>
          <w:color w:val="auto"/>
          <w:sz w:val="32"/>
          <w:szCs w:val="32"/>
          <w:highlight w:val="none"/>
        </w:rPr>
        <w:t>（三）</w:t>
      </w:r>
      <w:r>
        <w:rPr>
          <w:rFonts w:ascii="Times New Roman" w:hAnsi="Times New Roman" w:eastAsia="仿宋_GB2312"/>
          <w:color w:val="auto"/>
          <w:sz w:val="32"/>
          <w:szCs w:val="32"/>
          <w:highlight w:val="none"/>
        </w:rPr>
        <w:t>本</w:t>
      </w:r>
      <w:r>
        <w:rPr>
          <w:rFonts w:hint="eastAsia" w:ascii="Times New Roman" w:hAnsi="Times New Roman" w:eastAsia="仿宋_GB2312"/>
          <w:color w:val="auto"/>
          <w:sz w:val="32"/>
          <w:szCs w:val="32"/>
          <w:highlight w:val="none"/>
        </w:rPr>
        <w:t>许可文件自批准之日起有效期限3年</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在许可文件有效期内未开工建设的，生产建设单位应在许可文件有效期满的30个工作日之前向我局申请重新审核。项目在许可文件有效期内未开工建设的，或虽提出重新审核申请但未批准的，本许可文件自动失效。</w:t>
      </w:r>
    </w:p>
    <w:sectPr>
      <w:footerReference r:id="rId3" w:type="default"/>
      <w:pgSz w:w="11906" w:h="16838"/>
      <w:pgMar w:top="2098" w:right="1531" w:bottom="1531" w:left="1531" w:header="851"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s>
      <w:snapToGrid w:val="0"/>
      <w:spacing w:beforeAutospacing="0" w:afterAutospacing="0"/>
      <w:jc w:val="right"/>
    </w:pPr>
  </w:p>
  <w:sdt>
    <w:sdtPr>
      <w:rPr>
        <w:rFonts w:cstheme="minorBidi"/>
        <w:kern w:val="2"/>
        <w:sz w:val="18"/>
        <w:szCs w:val="18"/>
      </w:rPr>
      <w:id w:val="15039671"/>
    </w:sdtPr>
    <w:sdtEndPr>
      <w:rPr>
        <w:rFonts w:hint="eastAsia" w:ascii="仿宋_GB2312" w:eastAsia="仿宋_GB2312" w:cstheme="minorBidi"/>
        <w:kern w:val="2"/>
        <w:sz w:val="32"/>
        <w:szCs w:val="32"/>
      </w:rPr>
    </w:sdtEndPr>
    <w:sdtContent>
      <w:p>
        <w:pPr>
          <w:pStyle w:val="12"/>
          <w:tabs>
            <w:tab w:val="center" w:pos="4153"/>
            <w:tab w:val="right" w:pos="8306"/>
          </w:tabs>
          <w:snapToGrid w:val="0"/>
          <w:spacing w:beforeAutospacing="0" w:afterAutospacing="0"/>
          <w:jc w:val="right"/>
          <w:rPr>
            <w:rFonts w:ascii="宋体" w:hAnsi="宋体" w:cs="宋体"/>
            <w:sz w:val="28"/>
            <w:szCs w:val="28"/>
          </w:rPr>
        </w:pPr>
        <w: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89535</wp:posOffset>
                  </wp:positionV>
                  <wp:extent cx="952500" cy="656590"/>
                  <wp:effectExtent l="0" t="0" r="0" b="0"/>
                  <wp:wrapNone/>
                  <wp:docPr id="3" name="文本框 1"/>
                  <wp:cNvGraphicFramePr/>
                  <a:graphic xmlns:a="http://schemas.openxmlformats.org/drawingml/2006/main">
                    <a:graphicData uri="http://schemas.microsoft.com/office/word/2010/wordprocessingShape">
                      <wps:wsp>
                        <wps:cNvSpPr txBox="1"/>
                        <wps:spPr>
                          <a:xfrm>
                            <a:off x="0" y="0"/>
                            <a:ext cx="952500" cy="656590"/>
                          </a:xfrm>
                          <a:prstGeom prst="rect">
                            <a:avLst/>
                          </a:prstGeom>
                          <a:noFill/>
                          <a:ln w="6350">
                            <a:noFill/>
                          </a:ln>
                        </wps:spPr>
                        <wps:txbx>
                          <w:txbxContent>
                            <w:p>
                              <w:pPr>
                                <w:pStyle w:val="8"/>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  \* MERGEFORMAT </w:instrText>
                              </w:r>
                              <w:r>
                                <w:rPr>
                                  <w:rFonts w:hint="eastAsia" w:asciiTheme="minorEastAsia" w:hAnsiTheme="minorEastAsia" w:eastAsiaTheme="minorEastAsia" w:cstheme="minorEastAsia"/>
                                  <w:sz w:val="30"/>
                                  <w:szCs w:val="30"/>
                                </w:rPr>
                                <w:fldChar w:fldCharType="separate"/>
                              </w:r>
                              <w:r>
                                <w:rPr>
                                  <w:rFonts w:asciiTheme="minorEastAsia" w:hAnsiTheme="minorEastAsia" w:eastAsiaTheme="minorEastAsia" w:cstheme="minorEastAsia"/>
                                  <w:sz w:val="30"/>
                                  <w:szCs w:val="30"/>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 xml:space="preserve"> —</w:t>
                              </w:r>
                            </w:p>
                            <w:p/>
                          </w:txbxContent>
                        </wps:txbx>
                        <wps:bodyPr lIns="0" tIns="0" rIns="0" bIns="0" upright="1"/>
                      </wps:wsp>
                    </a:graphicData>
                  </a:graphic>
                </wp:anchor>
              </w:drawing>
            </mc:Choice>
            <mc:Fallback>
              <w:pict>
                <v:shape id="文本框 1" o:spid="_x0000_s1026" o:spt="202" type="#_x0000_t202" style="position:absolute;left:0pt;margin-left:0pt;margin-top:7.05pt;height:51.7pt;width:75pt;mso-position-horizontal-relative:margin;z-index:251659264;mso-width-relative:page;mso-height-relative:page;" filled="f" stroked="f" coordsize="21600,21600" o:gfxdata="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MyJbLUAAAABwEAAA8AAAAAAAAAAQAgAAAAIgAAAGRycy9kb3ducmV2LnhtbFBL&#10;AQIUABQAAAAIAIdO4kCJ2oTawQEAAHoDAAAOAAAAAAAAAAEAIAAAACMBAABkcnMvZTJvRG9jLnht&#10;bFBLBQYAAAAABgAGAFkBAABWBQAAAAA=&#10;">
                  <v:fill on="f" focussize="0,0"/>
                  <v:stroke on="f" weight="0.5pt"/>
                  <v:imagedata o:title=""/>
                  <o:lock v:ext="edit" aspectratio="f"/>
                  <v:textbox inset="0mm,0mm,0mm,0mm">
                    <w:txbxContent>
                      <w:p>
                        <w:pPr>
                          <w:pStyle w:val="8"/>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  \* MERGEFORMAT </w:instrText>
                        </w:r>
                        <w:r>
                          <w:rPr>
                            <w:rFonts w:hint="eastAsia" w:asciiTheme="minorEastAsia" w:hAnsiTheme="minorEastAsia" w:eastAsiaTheme="minorEastAsia" w:cstheme="minorEastAsia"/>
                            <w:sz w:val="30"/>
                            <w:szCs w:val="30"/>
                          </w:rPr>
                          <w:fldChar w:fldCharType="separate"/>
                        </w:r>
                        <w:r>
                          <w:rPr>
                            <w:rFonts w:asciiTheme="minorEastAsia" w:hAnsiTheme="minorEastAsia" w:eastAsiaTheme="minorEastAsia" w:cstheme="minorEastAsia"/>
                            <w:sz w:val="30"/>
                            <w:szCs w:val="30"/>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 xml:space="preserve"> —</w:t>
                        </w:r>
                      </w:p>
                      <w:p/>
                    </w:txbxContent>
                  </v:textbox>
                </v:shape>
              </w:pict>
            </mc:Fallback>
          </mc:AlternateContent>
        </w:r>
      </w:p>
      <w:p>
        <w:pPr>
          <w:pStyle w:val="8"/>
          <w:tabs>
            <w:tab w:val="left" w:pos="8195"/>
            <w:tab w:val="right" w:pos="8964"/>
          </w:tabs>
          <w:rPr>
            <w:rFonts w:ascii="仿宋_GB2312" w:eastAsia="仿宋_GB2312"/>
            <w:sz w:val="32"/>
            <w:szCs w:val="32"/>
          </w:rPr>
        </w:pP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A39"/>
    <w:rsid w:val="00060A39"/>
    <w:rsid w:val="000726F1"/>
    <w:rsid w:val="000B17B2"/>
    <w:rsid w:val="0011706B"/>
    <w:rsid w:val="00136878"/>
    <w:rsid w:val="00160A10"/>
    <w:rsid w:val="00165834"/>
    <w:rsid w:val="001948C1"/>
    <w:rsid w:val="001F376E"/>
    <w:rsid w:val="00210EAC"/>
    <w:rsid w:val="00281AF0"/>
    <w:rsid w:val="002952DD"/>
    <w:rsid w:val="002C55B2"/>
    <w:rsid w:val="0031045D"/>
    <w:rsid w:val="00357C57"/>
    <w:rsid w:val="0037447F"/>
    <w:rsid w:val="003E1369"/>
    <w:rsid w:val="005D009A"/>
    <w:rsid w:val="005D556E"/>
    <w:rsid w:val="005E53FF"/>
    <w:rsid w:val="00657832"/>
    <w:rsid w:val="006C74FD"/>
    <w:rsid w:val="006E7DC8"/>
    <w:rsid w:val="00815B8A"/>
    <w:rsid w:val="00955E00"/>
    <w:rsid w:val="00A4712E"/>
    <w:rsid w:val="00A5696F"/>
    <w:rsid w:val="00AA65BE"/>
    <w:rsid w:val="00B34820"/>
    <w:rsid w:val="00BA41BF"/>
    <w:rsid w:val="00BB49DF"/>
    <w:rsid w:val="00BE67BE"/>
    <w:rsid w:val="00C25F27"/>
    <w:rsid w:val="00C43E6C"/>
    <w:rsid w:val="00CB4B72"/>
    <w:rsid w:val="00DD5AD2"/>
    <w:rsid w:val="00DE0EFE"/>
    <w:rsid w:val="00E15523"/>
    <w:rsid w:val="00E23466"/>
    <w:rsid w:val="00E81B3A"/>
    <w:rsid w:val="00EE5380"/>
    <w:rsid w:val="00F01978"/>
    <w:rsid w:val="00F1049F"/>
    <w:rsid w:val="00FC6414"/>
    <w:rsid w:val="00FD48AC"/>
    <w:rsid w:val="0510353A"/>
    <w:rsid w:val="077603E9"/>
    <w:rsid w:val="08F5CB51"/>
    <w:rsid w:val="09E246B4"/>
    <w:rsid w:val="0C9408D6"/>
    <w:rsid w:val="0D15DD02"/>
    <w:rsid w:val="1518078B"/>
    <w:rsid w:val="15B7C1E5"/>
    <w:rsid w:val="16A7B22E"/>
    <w:rsid w:val="177F418F"/>
    <w:rsid w:val="1AF30543"/>
    <w:rsid w:val="1FEFBAEE"/>
    <w:rsid w:val="1FF55B5E"/>
    <w:rsid w:val="1FFFE1A3"/>
    <w:rsid w:val="25BF3C5F"/>
    <w:rsid w:val="276FAD9F"/>
    <w:rsid w:val="277F14E3"/>
    <w:rsid w:val="2BBDE951"/>
    <w:rsid w:val="2BCD93D9"/>
    <w:rsid w:val="2CC26B9B"/>
    <w:rsid w:val="2CE7C142"/>
    <w:rsid w:val="2D767329"/>
    <w:rsid w:val="2DFF7458"/>
    <w:rsid w:val="357EA35C"/>
    <w:rsid w:val="36C59992"/>
    <w:rsid w:val="3773D0FF"/>
    <w:rsid w:val="37ABC545"/>
    <w:rsid w:val="37AD6DEE"/>
    <w:rsid w:val="37C7E579"/>
    <w:rsid w:val="39F7445B"/>
    <w:rsid w:val="3D0F04DD"/>
    <w:rsid w:val="3D9CC7F5"/>
    <w:rsid w:val="3DFEE8AC"/>
    <w:rsid w:val="3EABF476"/>
    <w:rsid w:val="3ED14E04"/>
    <w:rsid w:val="3F6B4BF2"/>
    <w:rsid w:val="3FB12261"/>
    <w:rsid w:val="3FBB81E0"/>
    <w:rsid w:val="3FD78C21"/>
    <w:rsid w:val="3FFF927D"/>
    <w:rsid w:val="42DA6169"/>
    <w:rsid w:val="47C42E82"/>
    <w:rsid w:val="47F3D39B"/>
    <w:rsid w:val="4AEFBFC3"/>
    <w:rsid w:val="4B7F743F"/>
    <w:rsid w:val="4DCB5500"/>
    <w:rsid w:val="54714FEC"/>
    <w:rsid w:val="567F31C3"/>
    <w:rsid w:val="56CE221F"/>
    <w:rsid w:val="56EF67A3"/>
    <w:rsid w:val="56FB7AF7"/>
    <w:rsid w:val="56FECD8E"/>
    <w:rsid w:val="57DD7250"/>
    <w:rsid w:val="57E541FD"/>
    <w:rsid w:val="59B966A2"/>
    <w:rsid w:val="59F781D1"/>
    <w:rsid w:val="5AFD54DC"/>
    <w:rsid w:val="5C3749EC"/>
    <w:rsid w:val="5DBE403E"/>
    <w:rsid w:val="5DF52427"/>
    <w:rsid w:val="5DFF6426"/>
    <w:rsid w:val="5DFFF839"/>
    <w:rsid w:val="5E5B6160"/>
    <w:rsid w:val="5E7FCD46"/>
    <w:rsid w:val="5F7E79F7"/>
    <w:rsid w:val="5F7F6801"/>
    <w:rsid w:val="5FAB16C4"/>
    <w:rsid w:val="5FE9058A"/>
    <w:rsid w:val="5FF506EF"/>
    <w:rsid w:val="5FFB2637"/>
    <w:rsid w:val="5FFB445D"/>
    <w:rsid w:val="5FFBB8D1"/>
    <w:rsid w:val="5FFDADC6"/>
    <w:rsid w:val="61EF97A7"/>
    <w:rsid w:val="63316596"/>
    <w:rsid w:val="63BDCC9E"/>
    <w:rsid w:val="65BEFB48"/>
    <w:rsid w:val="65EF9FAB"/>
    <w:rsid w:val="65F30E6C"/>
    <w:rsid w:val="6609EA31"/>
    <w:rsid w:val="66FD2DAD"/>
    <w:rsid w:val="67FF897C"/>
    <w:rsid w:val="68FF652B"/>
    <w:rsid w:val="6ABF1D35"/>
    <w:rsid w:val="6ADECD1D"/>
    <w:rsid w:val="6BBAAE52"/>
    <w:rsid w:val="6BC689E4"/>
    <w:rsid w:val="6CBD5BBC"/>
    <w:rsid w:val="6CFF7D0C"/>
    <w:rsid w:val="6D5F841C"/>
    <w:rsid w:val="6D7DDA2B"/>
    <w:rsid w:val="6DF36B34"/>
    <w:rsid w:val="6ECE4282"/>
    <w:rsid w:val="6F333984"/>
    <w:rsid w:val="6FBDBB08"/>
    <w:rsid w:val="6FDF1581"/>
    <w:rsid w:val="6FDFCCDC"/>
    <w:rsid w:val="6FF961CF"/>
    <w:rsid w:val="6FFFD509"/>
    <w:rsid w:val="71FA341B"/>
    <w:rsid w:val="72F533E9"/>
    <w:rsid w:val="73CB5CC4"/>
    <w:rsid w:val="73EF7612"/>
    <w:rsid w:val="73FF6B33"/>
    <w:rsid w:val="747CB5D5"/>
    <w:rsid w:val="754F5E2F"/>
    <w:rsid w:val="757F0E8B"/>
    <w:rsid w:val="762D9FAC"/>
    <w:rsid w:val="767F4092"/>
    <w:rsid w:val="76B75B88"/>
    <w:rsid w:val="76EFBA82"/>
    <w:rsid w:val="76FD9640"/>
    <w:rsid w:val="773D781D"/>
    <w:rsid w:val="779C5972"/>
    <w:rsid w:val="779DA164"/>
    <w:rsid w:val="77BE7569"/>
    <w:rsid w:val="77FF2DC6"/>
    <w:rsid w:val="77FF4CDA"/>
    <w:rsid w:val="7873A8B8"/>
    <w:rsid w:val="79CF3861"/>
    <w:rsid w:val="7A928D84"/>
    <w:rsid w:val="7AFF0BB2"/>
    <w:rsid w:val="7B5D6AA8"/>
    <w:rsid w:val="7BB739DF"/>
    <w:rsid w:val="7BDF4EC3"/>
    <w:rsid w:val="7BE7F7A1"/>
    <w:rsid w:val="7BF728A2"/>
    <w:rsid w:val="7CA70252"/>
    <w:rsid w:val="7CD7DCE0"/>
    <w:rsid w:val="7CDE0243"/>
    <w:rsid w:val="7CFF7BCB"/>
    <w:rsid w:val="7D4F06CD"/>
    <w:rsid w:val="7DF71F2F"/>
    <w:rsid w:val="7DFC4946"/>
    <w:rsid w:val="7E7E6B00"/>
    <w:rsid w:val="7E7FA8C2"/>
    <w:rsid w:val="7E868447"/>
    <w:rsid w:val="7EB3B5F6"/>
    <w:rsid w:val="7EDA2715"/>
    <w:rsid w:val="7EDF69ED"/>
    <w:rsid w:val="7EFDAD05"/>
    <w:rsid w:val="7F3E2E42"/>
    <w:rsid w:val="7F6B778C"/>
    <w:rsid w:val="7F7CE299"/>
    <w:rsid w:val="7F7F38C3"/>
    <w:rsid w:val="7F8A4E38"/>
    <w:rsid w:val="7F9DC62C"/>
    <w:rsid w:val="7FAFB3FF"/>
    <w:rsid w:val="7FB57B3B"/>
    <w:rsid w:val="7FB9F08C"/>
    <w:rsid w:val="7FC7479A"/>
    <w:rsid w:val="7FED66DD"/>
    <w:rsid w:val="7FF521D7"/>
    <w:rsid w:val="7FF70EC1"/>
    <w:rsid w:val="7FFB0BAD"/>
    <w:rsid w:val="7FFECB7D"/>
    <w:rsid w:val="7FFF51D7"/>
    <w:rsid w:val="8558657C"/>
    <w:rsid w:val="9DD4B11C"/>
    <w:rsid w:val="9DDCD6E6"/>
    <w:rsid w:val="9EC6377E"/>
    <w:rsid w:val="9EE736D8"/>
    <w:rsid w:val="9F9B230E"/>
    <w:rsid w:val="9FDF5510"/>
    <w:rsid w:val="9FF88565"/>
    <w:rsid w:val="9FF92DF2"/>
    <w:rsid w:val="A3FB5B28"/>
    <w:rsid w:val="AA6DB423"/>
    <w:rsid w:val="AAF7A959"/>
    <w:rsid w:val="AD5EC8A9"/>
    <w:rsid w:val="ADEFFEAA"/>
    <w:rsid w:val="AE3D1644"/>
    <w:rsid w:val="AED87C9C"/>
    <w:rsid w:val="AEFE5CB2"/>
    <w:rsid w:val="AF5E779F"/>
    <w:rsid w:val="AFFD1DF0"/>
    <w:rsid w:val="B3E54824"/>
    <w:rsid w:val="B5EFD44D"/>
    <w:rsid w:val="B6DF338A"/>
    <w:rsid w:val="B6FCF949"/>
    <w:rsid w:val="B6FFF3EF"/>
    <w:rsid w:val="B768578A"/>
    <w:rsid w:val="B76FE9CE"/>
    <w:rsid w:val="B77EDCC1"/>
    <w:rsid w:val="B7E78EC9"/>
    <w:rsid w:val="B81FF1FD"/>
    <w:rsid w:val="B9FE37F1"/>
    <w:rsid w:val="BBBAF30E"/>
    <w:rsid w:val="BC6FFF0E"/>
    <w:rsid w:val="BCAD3EDB"/>
    <w:rsid w:val="BCFF0849"/>
    <w:rsid w:val="BCFFD61B"/>
    <w:rsid w:val="BD6F860F"/>
    <w:rsid w:val="BE57FB9E"/>
    <w:rsid w:val="BEEFC609"/>
    <w:rsid w:val="BEFF7450"/>
    <w:rsid w:val="BFAF2A70"/>
    <w:rsid w:val="BFBDA004"/>
    <w:rsid w:val="BFE7F4F1"/>
    <w:rsid w:val="BFEFC02B"/>
    <w:rsid w:val="BFFCC9BD"/>
    <w:rsid w:val="C2ECE50D"/>
    <w:rsid w:val="C3BDADC4"/>
    <w:rsid w:val="C73ED9A2"/>
    <w:rsid w:val="CFE77E99"/>
    <w:rsid w:val="CFEE8A4D"/>
    <w:rsid w:val="CFFF1324"/>
    <w:rsid w:val="D3FB7F1F"/>
    <w:rsid w:val="D44F63A9"/>
    <w:rsid w:val="D77F4DD6"/>
    <w:rsid w:val="D7AFC19F"/>
    <w:rsid w:val="D7BF400D"/>
    <w:rsid w:val="D81AA628"/>
    <w:rsid w:val="DB7EA70B"/>
    <w:rsid w:val="DBDEE22A"/>
    <w:rsid w:val="DCFECC43"/>
    <w:rsid w:val="DDEB1953"/>
    <w:rsid w:val="DDEF1E96"/>
    <w:rsid w:val="DEFB78D6"/>
    <w:rsid w:val="DEFF9587"/>
    <w:rsid w:val="DF462446"/>
    <w:rsid w:val="DFBFFFEE"/>
    <w:rsid w:val="DFFF843E"/>
    <w:rsid w:val="E3BF5BC3"/>
    <w:rsid w:val="E4AF9A44"/>
    <w:rsid w:val="E5DE5E8B"/>
    <w:rsid w:val="E6FD435C"/>
    <w:rsid w:val="E7F7D2D2"/>
    <w:rsid w:val="E9F95819"/>
    <w:rsid w:val="EABFC4AC"/>
    <w:rsid w:val="EAFBB269"/>
    <w:rsid w:val="EBDDE7D3"/>
    <w:rsid w:val="EBDF8FB5"/>
    <w:rsid w:val="EBFFABF4"/>
    <w:rsid w:val="EDF5A69A"/>
    <w:rsid w:val="EDFF5EF9"/>
    <w:rsid w:val="EE7DD690"/>
    <w:rsid w:val="EEBFB97B"/>
    <w:rsid w:val="EEFD3AA1"/>
    <w:rsid w:val="EEFF118D"/>
    <w:rsid w:val="EFCF77EC"/>
    <w:rsid w:val="EFDB803C"/>
    <w:rsid w:val="EFF7C868"/>
    <w:rsid w:val="EFFD77CA"/>
    <w:rsid w:val="EFFF3C8F"/>
    <w:rsid w:val="F28F9900"/>
    <w:rsid w:val="F35F1A01"/>
    <w:rsid w:val="F38F7E0E"/>
    <w:rsid w:val="F4D586DE"/>
    <w:rsid w:val="F56F2CA7"/>
    <w:rsid w:val="F6FEB692"/>
    <w:rsid w:val="F73C2298"/>
    <w:rsid w:val="F73DB3E4"/>
    <w:rsid w:val="F75FBFB1"/>
    <w:rsid w:val="F77FDA54"/>
    <w:rsid w:val="F787A12E"/>
    <w:rsid w:val="F78FA5CE"/>
    <w:rsid w:val="F7B6045E"/>
    <w:rsid w:val="F7BF058B"/>
    <w:rsid w:val="F7BF97EC"/>
    <w:rsid w:val="F7DB23AD"/>
    <w:rsid w:val="F7DF2383"/>
    <w:rsid w:val="F7FF1A09"/>
    <w:rsid w:val="F7FFCB9E"/>
    <w:rsid w:val="F97F8BD2"/>
    <w:rsid w:val="F9F71D2F"/>
    <w:rsid w:val="FAF37EAC"/>
    <w:rsid w:val="FAFDD75F"/>
    <w:rsid w:val="FAFF1194"/>
    <w:rsid w:val="FB0EFDB6"/>
    <w:rsid w:val="FB17BB92"/>
    <w:rsid w:val="FB3F26A4"/>
    <w:rsid w:val="FB5D8A14"/>
    <w:rsid w:val="FBB7CE30"/>
    <w:rsid w:val="FBBE108A"/>
    <w:rsid w:val="FBBE8847"/>
    <w:rsid w:val="FBCEC863"/>
    <w:rsid w:val="FBE6F359"/>
    <w:rsid w:val="FBED77EE"/>
    <w:rsid w:val="FBEF8848"/>
    <w:rsid w:val="FBF7E6A5"/>
    <w:rsid w:val="FBF82560"/>
    <w:rsid w:val="FBFF3FF2"/>
    <w:rsid w:val="FBFFFF6C"/>
    <w:rsid w:val="FCDA7E03"/>
    <w:rsid w:val="FCDFF9CB"/>
    <w:rsid w:val="FCE75802"/>
    <w:rsid w:val="FCF7AAE4"/>
    <w:rsid w:val="FD5FFD87"/>
    <w:rsid w:val="FD73C66D"/>
    <w:rsid w:val="FD87368A"/>
    <w:rsid w:val="FDB77FCB"/>
    <w:rsid w:val="FDEF2422"/>
    <w:rsid w:val="FDEF58BA"/>
    <w:rsid w:val="FDF98659"/>
    <w:rsid w:val="FDFDFB5A"/>
    <w:rsid w:val="FE9FE4AC"/>
    <w:rsid w:val="FEAC589B"/>
    <w:rsid w:val="FEB777B4"/>
    <w:rsid w:val="FEBE7B26"/>
    <w:rsid w:val="FEBFC843"/>
    <w:rsid w:val="FEF29630"/>
    <w:rsid w:val="FEF5AC3F"/>
    <w:rsid w:val="FEFC7758"/>
    <w:rsid w:val="FEFD8690"/>
    <w:rsid w:val="FF19A27D"/>
    <w:rsid w:val="FF3A6AEF"/>
    <w:rsid w:val="FF4B82F8"/>
    <w:rsid w:val="FF73D0EA"/>
    <w:rsid w:val="FFB97BCB"/>
    <w:rsid w:val="FFBCEECF"/>
    <w:rsid w:val="FFBE3C0F"/>
    <w:rsid w:val="FFBFCBE2"/>
    <w:rsid w:val="FFDFC0ED"/>
    <w:rsid w:val="FFE6D275"/>
    <w:rsid w:val="FFF63777"/>
    <w:rsid w:val="FFF9F88E"/>
    <w:rsid w:val="FFFAA4D9"/>
    <w:rsid w:val="FFFAD66D"/>
    <w:rsid w:val="FFFBDEA3"/>
    <w:rsid w:val="FFFDACD8"/>
    <w:rsid w:val="FFFF5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1"/>
    <w:qFormat/>
    <w:uiPriority w:val="0"/>
    <w:pPr>
      <w:spacing w:line="560" w:lineRule="exact"/>
    </w:pPr>
    <w:rPr>
      <w:sz w:val="28"/>
    </w:rPr>
  </w:style>
  <w:style w:type="paragraph" w:styleId="5">
    <w:name w:val="Body Text Indent"/>
    <w:basedOn w:val="1"/>
    <w:link w:val="25"/>
    <w:semiHidden/>
    <w:unhideWhenUsed/>
    <w:qFormat/>
    <w:uiPriority w:val="99"/>
    <w:pPr>
      <w:spacing w:after="120"/>
      <w:ind w:left="420" w:leftChars="200"/>
    </w:pPr>
  </w:style>
  <w:style w:type="paragraph" w:styleId="6">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7">
    <w:name w:val="Date"/>
    <w:basedOn w:val="1"/>
    <w:next w:val="1"/>
    <w:link w:val="22"/>
    <w:qFormat/>
    <w:uiPriority w:val="0"/>
    <w:rPr>
      <w:rFonts w:eastAsia="楷体_GB2312"/>
      <w:kern w:val="4"/>
      <w:sz w:val="32"/>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0"/>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1">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2">
    <w:name w:val="Normal (Web)"/>
    <w:basedOn w:val="1"/>
    <w:qFormat/>
    <w:uiPriority w:val="0"/>
    <w:pPr>
      <w:spacing w:beforeAutospacing="1" w:afterAutospacing="1"/>
      <w:jc w:val="left"/>
    </w:pPr>
    <w:rPr>
      <w:kern w:val="0"/>
      <w:sz w:val="24"/>
    </w:rPr>
  </w:style>
  <w:style w:type="paragraph" w:styleId="13">
    <w:name w:val="Body Text First Indent 2"/>
    <w:basedOn w:val="5"/>
    <w:link w:val="26"/>
    <w:semiHidden/>
    <w:unhideWhenUsed/>
    <w:qFormat/>
    <w:uiPriority w:val="99"/>
    <w:pPr>
      <w:ind w:firstLine="420" w:firstLineChars="200"/>
    </w:pPr>
  </w:style>
  <w:style w:type="character" w:styleId="16">
    <w:name w:val="page number"/>
    <w:basedOn w:val="15"/>
    <w:qFormat/>
    <w:uiPriority w:val="0"/>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customStyle="1" w:styleId="18">
    <w:name w:val="标题 1 Char"/>
    <w:basedOn w:val="15"/>
    <w:link w:val="3"/>
    <w:qFormat/>
    <w:uiPriority w:val="9"/>
    <w:rPr>
      <w:rFonts w:ascii="Times New Roman" w:hAnsi="Times New Roman" w:eastAsia="宋体" w:cs="Times New Roman"/>
      <w:b/>
      <w:bCs/>
      <w:kern w:val="44"/>
      <w:sz w:val="44"/>
      <w:szCs w:val="44"/>
    </w:rPr>
  </w:style>
  <w:style w:type="character" w:customStyle="1" w:styleId="19">
    <w:name w:val="标题 2 Char"/>
    <w:basedOn w:val="15"/>
    <w:link w:val="4"/>
    <w:qFormat/>
    <w:uiPriority w:val="9"/>
    <w:rPr>
      <w:rFonts w:asciiTheme="majorHAnsi" w:hAnsiTheme="majorHAnsi" w:eastAsiaTheme="majorEastAsia" w:cstheme="majorBidi"/>
      <w:b/>
      <w:bCs/>
      <w:sz w:val="32"/>
      <w:szCs w:val="32"/>
    </w:rPr>
  </w:style>
  <w:style w:type="character" w:customStyle="1" w:styleId="20">
    <w:name w:val="页眉 Char"/>
    <w:link w:val="9"/>
    <w:qFormat/>
    <w:uiPriority w:val="0"/>
    <w:rPr>
      <w:rFonts w:ascii="Times New Roman" w:hAnsi="Times New Roman" w:eastAsia="宋体" w:cs="Times New Roman"/>
      <w:kern w:val="2"/>
      <w:sz w:val="18"/>
      <w:szCs w:val="24"/>
    </w:rPr>
  </w:style>
  <w:style w:type="character" w:customStyle="1" w:styleId="21">
    <w:name w:val="正文文本 Char"/>
    <w:basedOn w:val="15"/>
    <w:link w:val="2"/>
    <w:qFormat/>
    <w:uiPriority w:val="0"/>
    <w:rPr>
      <w:rFonts w:ascii="Times New Roman" w:hAnsi="Times New Roman" w:eastAsia="宋体" w:cs="Times New Roman"/>
      <w:sz w:val="28"/>
      <w:szCs w:val="24"/>
    </w:rPr>
  </w:style>
  <w:style w:type="character" w:customStyle="1" w:styleId="22">
    <w:name w:val="日期 Char"/>
    <w:basedOn w:val="15"/>
    <w:link w:val="7"/>
    <w:qFormat/>
    <w:uiPriority w:val="0"/>
    <w:rPr>
      <w:rFonts w:ascii="Times New Roman" w:hAnsi="Times New Roman" w:eastAsia="楷体_GB2312" w:cs="Times New Roman"/>
      <w:kern w:val="4"/>
      <w:sz w:val="32"/>
      <w:szCs w:val="20"/>
    </w:rPr>
  </w:style>
  <w:style w:type="character" w:customStyle="1" w:styleId="23">
    <w:name w:val="页脚 Char"/>
    <w:basedOn w:val="15"/>
    <w:link w:val="8"/>
    <w:qFormat/>
    <w:uiPriority w:val="0"/>
    <w:rPr>
      <w:rFonts w:ascii="Times New Roman" w:hAnsi="Times New Roman" w:eastAsia="宋体" w:cs="Times New Roman"/>
      <w:sz w:val="18"/>
      <w:szCs w:val="18"/>
    </w:rPr>
  </w:style>
  <w:style w:type="paragraph" w:customStyle="1" w:styleId="24">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5">
    <w:name w:val="正文文本缩进 Char"/>
    <w:basedOn w:val="15"/>
    <w:link w:val="5"/>
    <w:semiHidden/>
    <w:qFormat/>
    <w:uiPriority w:val="99"/>
    <w:rPr>
      <w:rFonts w:ascii="Times New Roman" w:hAnsi="Times New Roman" w:eastAsia="宋体" w:cs="Times New Roman"/>
      <w:kern w:val="2"/>
      <w:sz w:val="21"/>
      <w:szCs w:val="24"/>
    </w:rPr>
  </w:style>
  <w:style w:type="character" w:customStyle="1" w:styleId="26">
    <w:name w:val="正文首行缩进 2 Char"/>
    <w:basedOn w:val="25"/>
    <w:link w:val="13"/>
    <w:semiHidden/>
    <w:qFormat/>
    <w:uiPriority w:val="99"/>
    <w:rPr>
      <w:rFonts w:ascii="Times New Roman" w:hAnsi="Times New Roman" w:eastAsia="宋体" w:cs="Times New Roman"/>
      <w:kern w:val="2"/>
      <w:sz w:val="21"/>
      <w:szCs w:val="24"/>
    </w:rPr>
  </w:style>
  <w:style w:type="paragraph" w:customStyle="1" w:styleId="27">
    <w:name w:val="默认段落"/>
    <w:basedOn w:val="1"/>
    <w:qFormat/>
    <w:uiPriority w:val="0"/>
    <w:pPr>
      <w:adjustRightInd w:val="0"/>
      <w:snapToGrid w:val="0"/>
      <w:spacing w:line="360" w:lineRule="auto"/>
    </w:pPr>
    <w:rPr>
      <w:sz w:val="24"/>
    </w:rPr>
  </w:style>
  <w:style w:type="paragraph" w:customStyle="1" w:styleId="28">
    <w:name w:val="表格内容"/>
    <w:basedOn w:val="1"/>
    <w:next w:val="1"/>
    <w:qFormat/>
    <w:uiPriority w:val="0"/>
    <w:pPr>
      <w:adjustRightInd w:val="0"/>
      <w:snapToGrid w:val="0"/>
      <w:jc w:val="center"/>
    </w:pPr>
    <w:rPr>
      <w:rFonts w:eastAsia="仿宋_GB2312"/>
      <w:szCs w:val="21"/>
    </w:rPr>
  </w:style>
  <w:style w:type="paragraph" w:customStyle="1" w:styleId="29">
    <w:name w:val="AAA 正文"/>
    <w:next w:val="1"/>
    <w:qFormat/>
    <w:uiPriority w:val="0"/>
    <w:pPr>
      <w:adjustRightInd w:val="0"/>
      <w:snapToGrid w:val="0"/>
      <w:spacing w:line="560" w:lineRule="exact"/>
      <w:ind w:firstLine="640" w:firstLineChars="200"/>
      <w:jc w:val="both"/>
    </w:pPr>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13</Pages>
  <Words>3710</Words>
  <Characters>3762</Characters>
  <Lines>96</Lines>
  <Paragraphs>27</Paragraphs>
  <TotalTime>1</TotalTime>
  <ScaleCrop>false</ScaleCrop>
  <LinksUpToDate>false</LinksUpToDate>
  <CharactersWithSpaces>3762</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2024-05-06T13:13:00Z</dcterms:created>
  <dc:creator>Kevin Lenovo</dc:creator>
  <cp:lastModifiedBy>btstbc</cp:lastModifiedBy>
  <cp:lastPrinted>2026-03-18T12:54:00Z</cp:lastPrinted>
  <dcterms:modified xsi:type="dcterms:W3CDTF">2026-07-27T04:21:41Z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eyJoZGlkIjoiZTk4ODZhYTZjZDY5N2EwMTFlZjE3MWJiNzVlOGE4N2YiLCJ1c2VySWQiOiIxMDE4MDI1MDEyIn0=</vt:lpwstr>
  </property>
  <property fmtid="{D5CDD505-2E9C-101B-9397-08002B2CF9AE}" pid="4" name="ICV">
    <vt:lpwstr>D325A77AC5914C509FA7380A7C340B02_12</vt:lpwstr>
  </property>
</Properties>
</file>