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</w:t>
      </w:r>
    </w:p>
    <w:p>
      <w:pPr>
        <w:pStyle w:val="2"/>
        <w:spacing w:line="440" w:lineRule="exact"/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水土保持方案报告书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批复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</w:t>
      </w:r>
    </w:p>
    <w:p>
      <w:pPr>
        <w:pStyle w:val="2"/>
        <w:spacing w:line="440" w:lineRule="exact"/>
        <w:jc w:val="center"/>
        <w:rPr>
          <w:rFonts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（202</w:t>
      </w:r>
      <w:r>
        <w:rPr>
          <w:rFonts w:hint="eastAsia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1.关于第五师双河市-90团-精阿高速公路工程水土保持方案审批准予行政许可决定书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关于新疆和什托洛盖矿区屯南煤业二号井田120万吨/年改扩建项目水土保持方案审批准予行政许可决定书</w:t>
      </w:r>
    </w:p>
    <w:p>
      <w:pPr>
        <w:pStyle w:val="2"/>
        <w:ind w:firstLine="420" w:firstLineChars="0"/>
        <w:rPr>
          <w:rFonts w:hint="default"/>
          <w:lang w:val="en-US"/>
        </w:rPr>
      </w:pPr>
      <w:r>
        <w:rPr>
          <w:rFonts w:hint="eastAsia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3.关于第四师2021年农村电网改造升级68团110kV输变电工程（变更）水土保持方案审批准予行政许可决定书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0"/>
        <w:jc w:val="left"/>
        <w:textAlignment w:val="auto"/>
        <w:rPr>
          <w:rFonts w:hint="eastAsia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0"/>
        <w:jc w:val="lef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ind w:firstLine="480" w:firstLineChars="200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pgSz w:w="11906" w:h="16838"/>
          <w:pgMar w:top="2041" w:right="1531" w:bottom="2041" w:left="1531" w:header="851" w:footer="992" w:gutter="0"/>
          <w:cols w:space="425" w:num="1"/>
          <w:docGrid w:type="lines" w:linePitch="318" w:charSpace="0"/>
        </w:sect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00" w:lineRule="exact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600" w:lineRule="exact"/>
        <w:jc w:val="center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兵水许可决〔20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号</w:t>
      </w:r>
    </w:p>
    <w:p>
      <w:pPr>
        <w:spacing w:line="560" w:lineRule="exact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第五师双河市-90团-精阿高速公路工程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水土保持方案审批准予行政许可决定书</w:t>
      </w:r>
    </w:p>
    <w:p>
      <w:pPr>
        <w:pStyle w:val="2"/>
        <w:spacing w:line="560" w:lineRule="exact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新疆生产建设兵团第五师交通运输局：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你单位《关于审批第五师双河市-90团-精阿高速公路工程水土保持方案的请示》收悉。我局组织有关专家对该项目水土保持方案报告书进行了技术评审，提出了评审意见（详见附件）。经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审查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决定准予行政许可。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一、水土保持方案总体意见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（一）基本同意水土流失防治责任范围为2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12.35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公顷。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（二）同意水土流失防治执行北方风沙区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级标准。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（三）基本同意设计水平年水土流失综合防治目标为：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水土流失治理度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85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%，土壤流失控制比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1.0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，渣土防护率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87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%，表土保护率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90%，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林草植被恢复率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林草覆盖率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不做要求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（四）基本同意水土流失防治分区及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防治措施。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（五）基本同意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建设期估算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水土保持补偿费为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212.35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（第五师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173.32万元，精河县39.03万元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水土保持补偿费实际征收额由征收部门审核确定。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二、生产建设单位在项目建设中应全面落实《中华人民共和国水土保持法》的相关要求，并重点做好以下工作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一）按照批复的水土保持方案落实资金、监测、监理、管理等保证措施，做好水土保持初步设计、施工图设计、施工组织设计，加强对施工单位的监督和管理，明确水土流失防治责任，切实落实水土保持“三同时”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二）严格按照批复的水土保持方案要求落实各项水土保持措施。各类施工活动要严格限定在用地范围内，严禁随意占压、扰动、破坏地表和植被；建设过程中产生的临时堆土要及时运至回填利用区域并进行防护，禁止随意倾倒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。做好弃渣综合利用，建设过程中产生的弃渣要及时运至方案确定的专门场地。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根据方案要求合理安排施工时序和水土保持措施实施进度，严格控制施工期间可能造成的水土流失。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（三）切实做好水土保持监测工作，加强建设期水土流失动态监控，并按规定向兵团水利局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、第五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师水利局提交水土保持监测季度报告及总结报告。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（四）落实并做好水土保持监理工作，确保水土保持工程建设质量和进度。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（五）依法依规足额缴纳水土保持补偿费。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三、水土保持方案变更有关要求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（一）本项目的建设地点、规模如发生重大变化，或者水土保持方案实施过程中水土保持措施发生重大变更，建设单位应及时补充或者修改水土保持方案，报我局审批。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（二）需要新设弃渣场的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应当开展弃渣减量化、资源化论证，并在弃渣前编制水土保持方案补充报告，报我局审批。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项目在竣工验收或投产使用前应通过水土保持设施自主验收；生产建设单位应当在水土保持设施自主验收通过后3个月内，向我局报备水土保持设施验收材料。水土保持设施未经验收或者验收不合格的，生产建设项目不得投产使用。</w:t>
      </w:r>
    </w:p>
    <w:p>
      <w:pPr>
        <w:pStyle w:val="2"/>
        <w:ind w:firstLine="640" w:firstLineChars="20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（二）本项目存在违反《中华人民共和国水土保持法》第二十六条的规定，水土保持方案未经批准而开工建设的行为。生产建设单位要深刻吸取教训，严格执行水土保持法律法规，杜绝此类行为再次发生。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许可文件自批准之日起有效期限3年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在许可文件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有效期内未开工建设的，生产建设单位应在许可文件有效期满的30个工作日之前向我局申请重新审核。项目在许可文件有效期内未开工建设的，或虽提出重新审核申请但未批准的，本许可文件自动失效。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>
      <w:pPr>
        <w:spacing w:line="600" w:lineRule="exact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>
      <w:pPr>
        <w:spacing w:line="300" w:lineRule="exact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>
      <w:pPr>
        <w:snapToGrid w:val="0"/>
        <w:spacing w:line="600" w:lineRule="exact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兵水许可决〔20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号</w:t>
      </w:r>
    </w:p>
    <w:p>
      <w:pPr>
        <w:spacing w:line="560" w:lineRule="exact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>
      <w:pPr>
        <w:spacing w:line="560" w:lineRule="exact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关于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新疆和什托洛盖矿区屯南煤业二号井田120万吨/年改扩建项目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水土保持方案审批准予行政许可决定书</w:t>
      </w:r>
    </w:p>
    <w:p>
      <w:pPr>
        <w:pStyle w:val="2"/>
        <w:spacing w:line="560" w:lineRule="exact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新疆屯南煤业有限责任公司：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你单位《关于申请审批新疆和什托洛盖矿区屯南煤业二号井田120万吨/年改扩建项目水土保持方案报告书的函》收悉。我局组织有关专家对该项目水土保持方案报告书进行了技术评审，提出了评审意见（详见附件）。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审查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决定准予行政许可。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一、水土保持方案总体意见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480" w:firstLineChars="1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（一）基本同意水土流失防治责任范围为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26.38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公顷。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480" w:firstLineChars="1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（二）同意水土流失防治执行北方风沙区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级标准。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480" w:firstLineChars="1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（三）基本同意设计水平年水土流失综合防治目标为：水土流失治理度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%，土壤流失控制比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，渣土防护率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%，林草植被恢复率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90%，和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林草覆盖率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16%，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表土保护率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不做要求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480" w:firstLineChars="1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（四）基本同意水土流失防治分区及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防治措施。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480" w:firstLineChars="1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（五）基本同意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建设期估算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水土保持补偿费为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39.57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元。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水土保持补偿费实际征收额由征收部门审核确定。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二、生产建设单位在项目建设中应全面落实《中华人民共和国水土保持法》的相关要求，并重点做好以下工作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480" w:firstLineChars="1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一）按照批复的水土保持方案落实资金、监测、监理、管理等保证措施，做好水土保持初步设计、施工图设计、施工组织设计，加强对施工单位的监督和管理，明确水土流失防治责任，切实落实水土保持“三同时”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480" w:firstLineChars="1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二）严格按照批复的水土保持方案要求落实各项水土保持措施。各类施工活动要严格限定在用地范围内，严禁随意占压、扰动、破坏地表和植被；建设过程中产生的临时堆土要及时运至回填利用区域并进行防护，禁止随意倾倒；做好弃渣综合利用，建设过程中产生的弃渣要及时运至方案确定的专门场地。根据方案要求合理安排施工时序和水土保持措施实施进度，严格控制施工期间可能造成的水土流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480" w:firstLineChars="1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（三）切实做好水土保持监测工作，加强建设期水土流失动态监控，并按规定向兵团水利局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师水利局提交水土保持监测季度报告及总结报告。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480" w:firstLineChars="1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（四）落实并做好水土保持监理工作，确保水土保持工程建设质量和进度。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480" w:firstLineChars="1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（五）依法依规足额缴纳水土保持补偿费。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三、水土保持方案变更有关要求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480" w:firstLineChars="1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（一）本项目的建设地点、规模如发生重大变化，或者水土保持方案实施过程中水土保持措施发生重大变更，建设单位应及时补充或者修改水土保持方案，报我局审批。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480" w:firstLineChars="1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在水土保持方案确定的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弃渣场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以外新设弃渣场的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或者因弃渣量增加导致等级提高的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应当开展弃渣减量化、资源化论证，并在弃渣前编制水土保持方案补充报告，报我局审批。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四、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本项目在竣工验收或投产使用前应通过水土保持设施自主验收；生产建设单位应当在水土保持设施自主验收通过后3个月内，向我局报备水土保持设施验收材料。水土保持设施未经验收或者验收不合格的，生产建设项目不得投产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许可文件自批准之日起有效期限3年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在许可文件有效期内未开工建设的，生产建设单位应在许可文件有效期满的30个工作日之前向我局申请重新审核。项目在许可文件有效期内未开工建设的，或虽提出重新审核申请但未批准的，本许可文件自动失效。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>
      <w:pPr>
        <w:spacing w:line="600" w:lineRule="exact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>
      <w:pPr>
        <w:spacing w:line="300" w:lineRule="exact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>
      <w:pPr>
        <w:snapToGrid w:val="0"/>
        <w:spacing w:line="600" w:lineRule="exact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兵水许可决〔20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号</w:t>
      </w:r>
    </w:p>
    <w:p>
      <w:pPr>
        <w:spacing w:line="560" w:lineRule="exact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>
      <w:pPr>
        <w:spacing w:line="560" w:lineRule="exact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关于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第四师2021年农村电网改造升级68团110kV输变电工程（变更）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水土保持方案审批准予行政许可决定书</w:t>
      </w:r>
    </w:p>
    <w:p>
      <w:pPr>
        <w:pStyle w:val="2"/>
        <w:spacing w:line="560" w:lineRule="exact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新疆生产建设兵团第四师电力有限责任公司：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你单位《关于申请审批第四师2021年农村电网改造升级68团110kV输变电工程（变更）的请示》收悉。我局组织有关专家对该项目水土保持方案报告书进行了技术评审，提出了评审意见（详见附件）。经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审查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决定准予行政许可。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一、水土保持方案总体意见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480" w:firstLineChars="1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（一）基本同意水土流失防治责任范围为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19.24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公顷。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480" w:firstLineChars="1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（二）同意水土流失防治执行北方风沙区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级标准。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480" w:firstLineChars="1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（三）基本同意设计水平年水土流失综合防治目标为：水土流失治理度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%，土壤流失控制比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，渣土防护率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%，表土保护率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90%，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林草植被恢复率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90%，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林草覆盖率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17%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480" w:firstLineChars="1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（四）基本同意水土流失防治分区及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防治措施。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480" w:firstLineChars="1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（五）基本同意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建设期估算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水土保持补偿费为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19.24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元。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水土保持补偿费实际征收额由征收部门审核确定。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二、生产建设单位在项目建设中应全面落实《中华人民共和国水土保持法》的相关要求，并重点做好以下工作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480" w:firstLineChars="1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一）按照批复的水土保持方案落实资金、监测、监理、管理等保证措施，做好水土保持初步设计、施工图设计、施工组织设计，加强对施工单位的监督和管理，明确水土流失防治责任，切实落实水土保持“三同时”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480" w:firstLineChars="1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二）严格按照批复的水土保持方案要求落实各项水土保持措施。各类施工活动要严格限定在用地范围内，严禁随意占压、扰动、破坏地表和植被；建设过程中产生的临时堆土要及时运至回填利用区域并进行防护，禁止随意倾倒；根据方案要求合理安排施工时序和水土保持措施实施进度，严格控制施工期间可能造成的水土流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480" w:firstLineChars="1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（三）切实做好水土保持监测工作，加强建设期水土流失动态监控，并按规定向兵团水利局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师水利局提交水土保持监测季度报告及总结报告。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480" w:firstLineChars="1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（四）落实并做好水土保持监理工作，确保水土保持工程建设质量和进度。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480" w:firstLineChars="1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（五）依法依规足额缴纳水土保持补偿费。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三、水土保持方案变更有关要求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480" w:firstLineChars="1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（一）本项目的建设地点、规模如发生重大变化，或者水土保持方案实施过程中水土保持措施发生重大变更，建设单位应及时补充或者修改水土保持方案，报我局审批。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480" w:firstLineChars="1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（二）需要新设弃渣场的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应当开展弃渣减量化、资源化论证，并在弃渣前编制水土保持方案补充报告，报我局审批。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四、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本项目在竣工验收或投产使用前应通过水土保持设施自主验收；生产建设单位应当在水土保持设施自主验收通过后3个月内，向我局报备水土保持设施验收材料。水土保持设施未经验收或者验收不合格的，生产建设项目不得投产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（二）本项目存在违反《中华人民共和国水土保持法》第二十六条的规定，水土保持方案未经批准而开工建设的行为。生产建设单位要深刻吸取教训，严格执行水土保持法律法规，杜绝此类行为再次发生。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许可文件自批准之日起有效期限3年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在许可文件有效期内未开工建设的，生产建设单位应在许可文件有效期满的30个工作日之前向我局申请重新审核。项目在许可文件有效期内未开工建设的，或虽提出重新审核申请但未批准的，本许可文件自动失效。</w:t>
      </w:r>
    </w:p>
    <w:p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531" w:left="1531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tabs>
        <w:tab w:val="center" w:pos="4153"/>
        <w:tab w:val="right" w:pos="8306"/>
      </w:tabs>
      <w:snapToGrid w:val="0"/>
      <w:spacing w:beforeAutospacing="0" w:afterAutospacing="0"/>
      <w:jc w:val="right"/>
    </w:pPr>
  </w:p>
  <w:sdt>
    <w:sdtPr>
      <w:rPr>
        <w:rFonts w:cstheme="minorBidi"/>
        <w:kern w:val="2"/>
        <w:sz w:val="18"/>
        <w:szCs w:val="18"/>
      </w:rPr>
      <w:id w:val="15039671"/>
    </w:sdtPr>
    <w:sdtEndPr>
      <w:rPr>
        <w:rFonts w:hint="eastAsia" w:ascii="仿宋_GB2312" w:eastAsia="仿宋_GB2312" w:cstheme="minorBidi"/>
        <w:kern w:val="2"/>
        <w:sz w:val="32"/>
        <w:szCs w:val="32"/>
      </w:rPr>
    </w:sdtEndPr>
    <w:sdtContent>
      <w:p>
        <w:pPr>
          <w:pStyle w:val="12"/>
          <w:tabs>
            <w:tab w:val="center" w:pos="4153"/>
            <w:tab w:val="right" w:pos="8306"/>
          </w:tabs>
          <w:snapToGrid w:val="0"/>
          <w:spacing w:beforeAutospacing="0" w:afterAutospacing="0"/>
          <w:jc w:val="right"/>
          <w:rPr>
            <w:rFonts w:ascii="宋体" w:hAnsi="宋体" w:cs="宋体"/>
            <w:sz w:val="28"/>
            <w:szCs w:val="28"/>
          </w:rPr>
        </w:pPr>
        <w: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89535</wp:posOffset>
                  </wp:positionV>
                  <wp:extent cx="952500" cy="656590"/>
                  <wp:effectExtent l="0" t="0" r="0" b="0"/>
                  <wp:wrapNone/>
                  <wp:docPr id="3" name="文本框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true"/>
                        <wps:spPr>
                          <a:xfrm>
                            <a:off x="0" y="0"/>
                            <a:ext cx="952500" cy="6565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"/>
                                <w:rPr>
                                  <w:rFonts w:asciiTheme="minorEastAsia" w:hAnsiTheme="minorEastAsia" w:eastAsiaTheme="minorEastAsia" w:cstheme="minorEastAsia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30"/>
                                  <w:szCs w:val="30"/>
                                </w:rPr>
                                <w:t xml:space="preserve">— 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30"/>
                                  <w:szCs w:val="30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30"/>
                                  <w:szCs w:val="30"/>
                                </w:rPr>
                                <w:instrText xml:space="preserve"> PAGE  \* MERGEFORMAT </w:instrTex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30"/>
                                  <w:szCs w:val="30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eastAsiaTheme="minorEastAsia" w:cstheme="minorEastAsia"/>
                                  <w:sz w:val="30"/>
                                  <w:szCs w:val="30"/>
                                </w:rPr>
                                <w:t>2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30"/>
                                  <w:szCs w:val="30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30"/>
                                  <w:szCs w:val="30"/>
                                </w:rPr>
                                <w:t xml:space="preserve"> —</w:t>
                              </w:r>
                            </w:p>
                            <w:p/>
                          </w:txbxContent>
                        </wps:txbx>
                        <wps:bodyPr lIns="0" tIns="0" rIns="0" bIns="0" upright="true"/>
                      </wps:wsp>
                    </a:graphicData>
                  </a:graphic>
                </wp:anchor>
              </w:drawing>
            </mc:Choice>
            <mc:Fallback>
              <w:pict>
                <v:shape id="文本框 1" o:spid="_x0000_s1026" o:spt="202" type="#_x0000_t202" style="position:absolute;left:0pt;margin-left:0pt;margin-top:7.05pt;height:51.7pt;width:75pt;mso-position-horizontal-relative:margin;z-index:251659264;mso-width-relative:page;mso-height-relative:page;" filled="f" stroked="f" coordsize="21600,21600" o:gfxdata="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BYAAABkcnMvUEsBAhQAFAAA&#10;AAgAh07iQIMyJbLUAAAABwEAAA8AAAAAAAAAAQAgAAAAOAAAAGRycy9kb3ducmV2LnhtbFBLAQIU&#10;ABQAAAAIAIdO4kD8UMhxqAEAADIDAAAOAAAAAAAAAAEAIAAAADkBAABkcnMvZTJvRG9jLnhtbFBL&#10;BQYAAAAABgAGAFkBAABTBQAAAAA=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8"/>
                          <w:rPr>
                            <w:rFonts w:asciiTheme="minorEastAsia" w:hAnsiTheme="minorEastAsia" w:eastAsiaTheme="minorEastAsia" w:cstheme="minorEastAsia"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30"/>
                            <w:szCs w:val="30"/>
                          </w:rPr>
                          <w:t xml:space="preserve">— 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30"/>
                            <w:szCs w:val="30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30"/>
                            <w:szCs w:val="30"/>
                          </w:rPr>
                          <w:instrText xml:space="preserve"> PAGE  \* MERGEFORMAT </w:instrTex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30"/>
                            <w:szCs w:val="30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eastAsiaTheme="minorEastAsia" w:cstheme="minorEastAsia"/>
                            <w:sz w:val="30"/>
                            <w:szCs w:val="30"/>
                          </w:rPr>
                          <w:t>2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30"/>
                            <w:szCs w:val="30"/>
                          </w:rPr>
                          <w:fldChar w:fldCharType="end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30"/>
                            <w:szCs w:val="30"/>
                          </w:rPr>
                          <w:t xml:space="preserve"> —</w:t>
                        </w:r>
                      </w:p>
                      <w:p/>
                    </w:txbxContent>
                  </v:textbox>
                </v:shape>
              </w:pict>
            </mc:Fallback>
          </mc:AlternateContent>
        </w:r>
      </w:p>
      <w:p>
        <w:pPr>
          <w:pStyle w:val="8"/>
          <w:tabs>
            <w:tab w:val="left" w:pos="8195"/>
            <w:tab w:val="right" w:pos="8964"/>
          </w:tabs>
          <w:rPr>
            <w:rFonts w:ascii="仿宋_GB2312" w:eastAsia="仿宋_GB2312"/>
            <w:sz w:val="32"/>
            <w:szCs w:val="32"/>
          </w:rPr>
        </w:pPr>
        <w:r>
          <w:rPr>
            <w:rFonts w:hint="eastAsia" w:ascii="仿宋_GB2312" w:eastAsia="仿宋_GB2312"/>
            <w:sz w:val="32"/>
            <w:szCs w:val="32"/>
          </w:rPr>
          <w:tab/>
        </w:r>
        <w:r>
          <w:rPr>
            <w:rFonts w:hint="eastAsia" w:ascii="仿宋_GB2312" w:eastAsia="仿宋_GB2312"/>
            <w:sz w:val="32"/>
            <w:szCs w:val="32"/>
          </w:rPr>
          <w:tab/>
        </w:r>
        <w:r>
          <w:rPr>
            <w:rFonts w:hint="eastAsia" w:ascii="仿宋_GB2312" w:eastAsia="仿宋_GB2312"/>
            <w:sz w:val="32"/>
            <w:szCs w:val="32"/>
          </w:rPr>
          <w:tab/>
        </w:r>
        <w:r>
          <w:rPr>
            <w:rFonts w:hint="eastAsia" w:ascii="仿宋_GB2312" w:eastAsia="仿宋_GB2312"/>
            <w:sz w:val="32"/>
            <w:szCs w:val="32"/>
          </w:rPr>
          <w:tab/>
        </w:r>
      </w:p>
    </w:sdtContent>
  </w:sdt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A39"/>
    <w:rsid w:val="00060A39"/>
    <w:rsid w:val="000726F1"/>
    <w:rsid w:val="000B17B2"/>
    <w:rsid w:val="0011706B"/>
    <w:rsid w:val="00136878"/>
    <w:rsid w:val="00160A10"/>
    <w:rsid w:val="00165834"/>
    <w:rsid w:val="001948C1"/>
    <w:rsid w:val="001F376E"/>
    <w:rsid w:val="00210EAC"/>
    <w:rsid w:val="00281AF0"/>
    <w:rsid w:val="002952DD"/>
    <w:rsid w:val="002C55B2"/>
    <w:rsid w:val="0031045D"/>
    <w:rsid w:val="00357C57"/>
    <w:rsid w:val="0037447F"/>
    <w:rsid w:val="003E1369"/>
    <w:rsid w:val="005D009A"/>
    <w:rsid w:val="005D556E"/>
    <w:rsid w:val="005E53FF"/>
    <w:rsid w:val="00657832"/>
    <w:rsid w:val="006C74FD"/>
    <w:rsid w:val="006E7DC8"/>
    <w:rsid w:val="00815B8A"/>
    <w:rsid w:val="00955E00"/>
    <w:rsid w:val="00A4712E"/>
    <w:rsid w:val="00A5696F"/>
    <w:rsid w:val="00AA65BE"/>
    <w:rsid w:val="00B34820"/>
    <w:rsid w:val="00BA41BF"/>
    <w:rsid w:val="00BB49DF"/>
    <w:rsid w:val="00BE67BE"/>
    <w:rsid w:val="00C25F27"/>
    <w:rsid w:val="00C43E6C"/>
    <w:rsid w:val="00CB4B72"/>
    <w:rsid w:val="00DD5AD2"/>
    <w:rsid w:val="00DE0EFE"/>
    <w:rsid w:val="00E15523"/>
    <w:rsid w:val="00E23466"/>
    <w:rsid w:val="00E81B3A"/>
    <w:rsid w:val="00EE5380"/>
    <w:rsid w:val="00F01978"/>
    <w:rsid w:val="00F1049F"/>
    <w:rsid w:val="00FC6414"/>
    <w:rsid w:val="00FD48AC"/>
    <w:rsid w:val="08F5CB51"/>
    <w:rsid w:val="0D15DD02"/>
    <w:rsid w:val="15B7C1E5"/>
    <w:rsid w:val="16A7B22E"/>
    <w:rsid w:val="177F418F"/>
    <w:rsid w:val="1FEFBAEE"/>
    <w:rsid w:val="1FF55B5E"/>
    <w:rsid w:val="1FFFE1A3"/>
    <w:rsid w:val="25BF3C5F"/>
    <w:rsid w:val="276FAD9F"/>
    <w:rsid w:val="277F14E3"/>
    <w:rsid w:val="2BBDE951"/>
    <w:rsid w:val="2BCD93D9"/>
    <w:rsid w:val="2CE7C142"/>
    <w:rsid w:val="2DFF7458"/>
    <w:rsid w:val="357EA35C"/>
    <w:rsid w:val="36C59992"/>
    <w:rsid w:val="3773D0FF"/>
    <w:rsid w:val="37ABC545"/>
    <w:rsid w:val="37AD6DEE"/>
    <w:rsid w:val="37C7E579"/>
    <w:rsid w:val="39F7445B"/>
    <w:rsid w:val="3D0F04DD"/>
    <w:rsid w:val="3D9CC7F5"/>
    <w:rsid w:val="3DFEE8AC"/>
    <w:rsid w:val="3EABF476"/>
    <w:rsid w:val="3ED14E04"/>
    <w:rsid w:val="3F6B4BF2"/>
    <w:rsid w:val="3FB12261"/>
    <w:rsid w:val="3FBB81E0"/>
    <w:rsid w:val="3FD78C21"/>
    <w:rsid w:val="3FFF927D"/>
    <w:rsid w:val="47F3D39B"/>
    <w:rsid w:val="4AEFBFC3"/>
    <w:rsid w:val="4B7F743F"/>
    <w:rsid w:val="4DCB5500"/>
    <w:rsid w:val="567F31C3"/>
    <w:rsid w:val="56CE221F"/>
    <w:rsid w:val="56EF67A3"/>
    <w:rsid w:val="56FB7AF7"/>
    <w:rsid w:val="56FECD8E"/>
    <w:rsid w:val="57DD7250"/>
    <w:rsid w:val="57E541FD"/>
    <w:rsid w:val="59B966A2"/>
    <w:rsid w:val="5AFD54DC"/>
    <w:rsid w:val="5C3749EC"/>
    <w:rsid w:val="5DBE403E"/>
    <w:rsid w:val="5DF52427"/>
    <w:rsid w:val="5DFFF839"/>
    <w:rsid w:val="5E5B6160"/>
    <w:rsid w:val="5E7FCD46"/>
    <w:rsid w:val="5F7E79F7"/>
    <w:rsid w:val="5F7F6801"/>
    <w:rsid w:val="5FAB16C4"/>
    <w:rsid w:val="5FE9058A"/>
    <w:rsid w:val="5FF506EF"/>
    <w:rsid w:val="5FFB2637"/>
    <w:rsid w:val="5FFB445D"/>
    <w:rsid w:val="5FFBB8D1"/>
    <w:rsid w:val="5FFDADC6"/>
    <w:rsid w:val="61EF97A7"/>
    <w:rsid w:val="63BDCC9E"/>
    <w:rsid w:val="65BEFB48"/>
    <w:rsid w:val="65EF9FAB"/>
    <w:rsid w:val="65F30E6C"/>
    <w:rsid w:val="6609EA31"/>
    <w:rsid w:val="66FD2DAD"/>
    <w:rsid w:val="67FF897C"/>
    <w:rsid w:val="68FF652B"/>
    <w:rsid w:val="6ABF1D35"/>
    <w:rsid w:val="6ADECD1D"/>
    <w:rsid w:val="6BBAAE52"/>
    <w:rsid w:val="6BC689E4"/>
    <w:rsid w:val="6CBD5BBC"/>
    <w:rsid w:val="6CFF7D0C"/>
    <w:rsid w:val="6D5F841C"/>
    <w:rsid w:val="6D7DDA2B"/>
    <w:rsid w:val="6DF36B34"/>
    <w:rsid w:val="6ECE4282"/>
    <w:rsid w:val="6F333984"/>
    <w:rsid w:val="6FBDBB08"/>
    <w:rsid w:val="6FDF1581"/>
    <w:rsid w:val="6FDFCCDC"/>
    <w:rsid w:val="6FF961CF"/>
    <w:rsid w:val="6FFFD509"/>
    <w:rsid w:val="71FA341B"/>
    <w:rsid w:val="72F533E9"/>
    <w:rsid w:val="73FF6B33"/>
    <w:rsid w:val="747CB5D5"/>
    <w:rsid w:val="754F5E2F"/>
    <w:rsid w:val="757F0E8B"/>
    <w:rsid w:val="762D9FAC"/>
    <w:rsid w:val="767F4092"/>
    <w:rsid w:val="76B75B88"/>
    <w:rsid w:val="76EFBA82"/>
    <w:rsid w:val="76FD9640"/>
    <w:rsid w:val="773D781D"/>
    <w:rsid w:val="779C5972"/>
    <w:rsid w:val="779DA164"/>
    <w:rsid w:val="77BE7569"/>
    <w:rsid w:val="77FF2DC6"/>
    <w:rsid w:val="77FF4CDA"/>
    <w:rsid w:val="7873A8B8"/>
    <w:rsid w:val="79CF3861"/>
    <w:rsid w:val="7A928D84"/>
    <w:rsid w:val="7AFF0BB2"/>
    <w:rsid w:val="7B5D6AA8"/>
    <w:rsid w:val="7BB739DF"/>
    <w:rsid w:val="7BDF4EC3"/>
    <w:rsid w:val="7BE7F7A1"/>
    <w:rsid w:val="7BF728A2"/>
    <w:rsid w:val="7CA70252"/>
    <w:rsid w:val="7CD7DCE0"/>
    <w:rsid w:val="7CDE0243"/>
    <w:rsid w:val="7CFF7BCB"/>
    <w:rsid w:val="7D4F06CD"/>
    <w:rsid w:val="7DF71F2F"/>
    <w:rsid w:val="7DFC4946"/>
    <w:rsid w:val="7E7E6B00"/>
    <w:rsid w:val="7E7FA8C2"/>
    <w:rsid w:val="7E868447"/>
    <w:rsid w:val="7EB3B5F6"/>
    <w:rsid w:val="7EDA2715"/>
    <w:rsid w:val="7EDF69ED"/>
    <w:rsid w:val="7EFDAD05"/>
    <w:rsid w:val="7F3E2E42"/>
    <w:rsid w:val="7F6B778C"/>
    <w:rsid w:val="7F7CE299"/>
    <w:rsid w:val="7F7F38C3"/>
    <w:rsid w:val="7F8A4E38"/>
    <w:rsid w:val="7F9DC62C"/>
    <w:rsid w:val="7FAFB3FF"/>
    <w:rsid w:val="7FB57B3B"/>
    <w:rsid w:val="7FB9F08C"/>
    <w:rsid w:val="7FC7479A"/>
    <w:rsid w:val="7FED66DD"/>
    <w:rsid w:val="7FF521D7"/>
    <w:rsid w:val="7FF70EC1"/>
    <w:rsid w:val="7FFB0BAD"/>
    <w:rsid w:val="7FFECB7D"/>
    <w:rsid w:val="7FFF51D7"/>
    <w:rsid w:val="8558657C"/>
    <w:rsid w:val="9DD4B11C"/>
    <w:rsid w:val="9DDCD6E6"/>
    <w:rsid w:val="9EE736D8"/>
    <w:rsid w:val="9F9B230E"/>
    <w:rsid w:val="9FF88565"/>
    <w:rsid w:val="9FF92DF2"/>
    <w:rsid w:val="A3FB5B28"/>
    <w:rsid w:val="AA6DB423"/>
    <w:rsid w:val="AD5EC8A9"/>
    <w:rsid w:val="ADEFFEAA"/>
    <w:rsid w:val="AE3D1644"/>
    <w:rsid w:val="AEFE5CB2"/>
    <w:rsid w:val="AF5E779F"/>
    <w:rsid w:val="AFFD1DF0"/>
    <w:rsid w:val="B5EFD44D"/>
    <w:rsid w:val="B6FCF949"/>
    <w:rsid w:val="B6FFF3EF"/>
    <w:rsid w:val="B768578A"/>
    <w:rsid w:val="B76FE9CE"/>
    <w:rsid w:val="B77EDCC1"/>
    <w:rsid w:val="B7E78EC9"/>
    <w:rsid w:val="B81FF1FD"/>
    <w:rsid w:val="B9FE37F1"/>
    <w:rsid w:val="BBBAF30E"/>
    <w:rsid w:val="BC6FFF0E"/>
    <w:rsid w:val="BCAD3EDB"/>
    <w:rsid w:val="BCFF0849"/>
    <w:rsid w:val="BCFFD61B"/>
    <w:rsid w:val="BD6F860F"/>
    <w:rsid w:val="BE57FB9E"/>
    <w:rsid w:val="BEEFC609"/>
    <w:rsid w:val="BEFF7450"/>
    <w:rsid w:val="BFAF2A70"/>
    <w:rsid w:val="BFBDA004"/>
    <w:rsid w:val="BFEFC02B"/>
    <w:rsid w:val="BFFCC9BD"/>
    <w:rsid w:val="C2ECE50D"/>
    <w:rsid w:val="C3BDADC4"/>
    <w:rsid w:val="C73ED9A2"/>
    <w:rsid w:val="CFE77E99"/>
    <w:rsid w:val="CFEE8A4D"/>
    <w:rsid w:val="CFFF1324"/>
    <w:rsid w:val="D3FB7F1F"/>
    <w:rsid w:val="D44F63A9"/>
    <w:rsid w:val="D77F4DD6"/>
    <w:rsid w:val="D7AFC19F"/>
    <w:rsid w:val="D7BF400D"/>
    <w:rsid w:val="D81AA628"/>
    <w:rsid w:val="DB7EA70B"/>
    <w:rsid w:val="DBDEE22A"/>
    <w:rsid w:val="DCFECC43"/>
    <w:rsid w:val="DDEB1953"/>
    <w:rsid w:val="DDEF1E96"/>
    <w:rsid w:val="DEFB78D6"/>
    <w:rsid w:val="DEFF9587"/>
    <w:rsid w:val="DF462446"/>
    <w:rsid w:val="DFBFFFEE"/>
    <w:rsid w:val="DFFF843E"/>
    <w:rsid w:val="E3BF5BC3"/>
    <w:rsid w:val="E4AF9A44"/>
    <w:rsid w:val="E5DE5E8B"/>
    <w:rsid w:val="E6FD435C"/>
    <w:rsid w:val="E7F7D2D2"/>
    <w:rsid w:val="E9F95819"/>
    <w:rsid w:val="EABFC4AC"/>
    <w:rsid w:val="EAFBB269"/>
    <w:rsid w:val="EBDDE7D3"/>
    <w:rsid w:val="EBDF8FB5"/>
    <w:rsid w:val="EBFFABF4"/>
    <w:rsid w:val="EDF5A69A"/>
    <w:rsid w:val="EDFF5EF9"/>
    <w:rsid w:val="EE7DD690"/>
    <w:rsid w:val="EEBFB97B"/>
    <w:rsid w:val="EEFD3AA1"/>
    <w:rsid w:val="EEFF118D"/>
    <w:rsid w:val="EFCF77EC"/>
    <w:rsid w:val="EFDB803C"/>
    <w:rsid w:val="EFF7C868"/>
    <w:rsid w:val="EFFD77CA"/>
    <w:rsid w:val="EFFF3C8F"/>
    <w:rsid w:val="F28F9900"/>
    <w:rsid w:val="F35F1A01"/>
    <w:rsid w:val="F38F7E0E"/>
    <w:rsid w:val="F4D586DE"/>
    <w:rsid w:val="F56F2CA7"/>
    <w:rsid w:val="F6FEB692"/>
    <w:rsid w:val="F73C2298"/>
    <w:rsid w:val="F73DB3E4"/>
    <w:rsid w:val="F75FBFB1"/>
    <w:rsid w:val="F77FDA54"/>
    <w:rsid w:val="F787A12E"/>
    <w:rsid w:val="F78FA5CE"/>
    <w:rsid w:val="F7B6045E"/>
    <w:rsid w:val="F7BF058B"/>
    <w:rsid w:val="F7BF97EC"/>
    <w:rsid w:val="F7DB23AD"/>
    <w:rsid w:val="F7DF2383"/>
    <w:rsid w:val="F7FF1A09"/>
    <w:rsid w:val="F7FFCB9E"/>
    <w:rsid w:val="F9F71D2F"/>
    <w:rsid w:val="FAF37EAC"/>
    <w:rsid w:val="FAFF1194"/>
    <w:rsid w:val="FB17BB92"/>
    <w:rsid w:val="FB3F26A4"/>
    <w:rsid w:val="FB5D8A14"/>
    <w:rsid w:val="FBBE108A"/>
    <w:rsid w:val="FBBE8847"/>
    <w:rsid w:val="FBCEC863"/>
    <w:rsid w:val="FBE6F359"/>
    <w:rsid w:val="FBED77EE"/>
    <w:rsid w:val="FBEF8848"/>
    <w:rsid w:val="FBF7E6A5"/>
    <w:rsid w:val="FBF82560"/>
    <w:rsid w:val="FBFF3FF2"/>
    <w:rsid w:val="FBFFFF6C"/>
    <w:rsid w:val="FCDA7E03"/>
    <w:rsid w:val="FCDFF9CB"/>
    <w:rsid w:val="FCE75802"/>
    <w:rsid w:val="FCF7AAE4"/>
    <w:rsid w:val="FD5FFD87"/>
    <w:rsid w:val="FD73C66D"/>
    <w:rsid w:val="FD87368A"/>
    <w:rsid w:val="FDB77FCB"/>
    <w:rsid w:val="FDEF2422"/>
    <w:rsid w:val="FDEF58BA"/>
    <w:rsid w:val="FDF98659"/>
    <w:rsid w:val="FDFDFB5A"/>
    <w:rsid w:val="FE9FE4AC"/>
    <w:rsid w:val="FEAC589B"/>
    <w:rsid w:val="FEB777B4"/>
    <w:rsid w:val="FEBE7B26"/>
    <w:rsid w:val="FEBFC843"/>
    <w:rsid w:val="FEF29630"/>
    <w:rsid w:val="FEF5AC3F"/>
    <w:rsid w:val="FEFC7758"/>
    <w:rsid w:val="FF19A27D"/>
    <w:rsid w:val="FF3A6AEF"/>
    <w:rsid w:val="FF73D0EA"/>
    <w:rsid w:val="FFB97BCB"/>
    <w:rsid w:val="FFBCEECF"/>
    <w:rsid w:val="FFBE3C0F"/>
    <w:rsid w:val="FFBFCBE2"/>
    <w:rsid w:val="FFE6D275"/>
    <w:rsid w:val="FFF63777"/>
    <w:rsid w:val="FFF9F88E"/>
    <w:rsid w:val="FFFAA4D9"/>
    <w:rsid w:val="FFFAD66D"/>
    <w:rsid w:val="FFFBDEA3"/>
    <w:rsid w:val="FFFDACD8"/>
    <w:rsid w:val="FFFF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8"/>
    <w:qFormat/>
    <w:uiPriority w:val="0"/>
    <w:pPr>
      <w:spacing w:line="560" w:lineRule="exact"/>
    </w:pPr>
    <w:rPr>
      <w:sz w:val="28"/>
    </w:rPr>
  </w:style>
  <w:style w:type="paragraph" w:styleId="5">
    <w:name w:val="Body Text Indent"/>
    <w:basedOn w:val="1"/>
    <w:link w:val="25"/>
    <w:semiHidden/>
    <w:unhideWhenUsed/>
    <w:qFormat/>
    <w:uiPriority w:val="99"/>
    <w:pPr>
      <w:spacing w:after="120"/>
      <w:ind w:left="420" w:leftChars="200"/>
    </w:pPr>
  </w:style>
  <w:style w:type="paragraph" w:styleId="6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7">
    <w:name w:val="Date"/>
    <w:basedOn w:val="1"/>
    <w:next w:val="1"/>
    <w:link w:val="19"/>
    <w:qFormat/>
    <w:uiPriority w:val="0"/>
    <w:rPr>
      <w:rFonts w:eastAsia="楷体_GB2312"/>
      <w:kern w:val="4"/>
      <w:sz w:val="32"/>
      <w:szCs w:val="20"/>
    </w:r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1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3">
    <w:name w:val="Body Text First Indent 2"/>
    <w:basedOn w:val="5"/>
    <w:link w:val="26"/>
    <w:semiHidden/>
    <w:unhideWhenUsed/>
    <w:qFormat/>
    <w:uiPriority w:val="99"/>
    <w:pPr>
      <w:ind w:firstLine="420" w:firstLineChars="200"/>
    </w:p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正文文本 Char"/>
    <w:basedOn w:val="15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9">
    <w:name w:val="日期 Char"/>
    <w:basedOn w:val="15"/>
    <w:link w:val="7"/>
    <w:qFormat/>
    <w:uiPriority w:val="0"/>
    <w:rPr>
      <w:rFonts w:ascii="Times New Roman" w:hAnsi="Times New Roman" w:eastAsia="楷体_GB2312" w:cs="Times New Roman"/>
      <w:kern w:val="4"/>
      <w:sz w:val="32"/>
      <w:szCs w:val="20"/>
    </w:rPr>
  </w:style>
  <w:style w:type="character" w:customStyle="1" w:styleId="20">
    <w:name w:val="页脚 Char"/>
    <w:basedOn w:val="15"/>
    <w:link w:val="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标题 2 Char"/>
    <w:basedOn w:val="15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1 Char"/>
    <w:basedOn w:val="15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3">
    <w:name w:val="TOC 标题1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24">
    <w:name w:val="页眉 Char"/>
    <w:link w:val="9"/>
    <w:qFormat/>
    <w:uiPriority w:val="0"/>
    <w:rPr>
      <w:rFonts w:ascii="Times New Roman" w:hAnsi="Times New Roman" w:eastAsia="宋体" w:cs="Times New Roman"/>
      <w:kern w:val="2"/>
      <w:sz w:val="18"/>
      <w:szCs w:val="24"/>
    </w:rPr>
  </w:style>
  <w:style w:type="character" w:customStyle="1" w:styleId="25">
    <w:name w:val="正文文本缩进 Char"/>
    <w:basedOn w:val="15"/>
    <w:link w:val="5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6">
    <w:name w:val="正文首行缩进 2 Char"/>
    <w:basedOn w:val="25"/>
    <w:link w:val="13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27">
    <w:name w:val="默认段落"/>
    <w:basedOn w:val="1"/>
    <w:qFormat/>
    <w:uiPriority w:val="0"/>
    <w:pPr>
      <w:adjustRightInd w:val="0"/>
      <w:snapToGrid w:val="0"/>
      <w:spacing w:line="360" w:lineRule="auto"/>
    </w:pPr>
    <w:rPr>
      <w:sz w:val="24"/>
    </w:rPr>
  </w:style>
  <w:style w:type="paragraph" w:customStyle="1" w:styleId="28">
    <w:name w:val="表格内容"/>
    <w:basedOn w:val="1"/>
    <w:next w:val="1"/>
    <w:qFormat/>
    <w:uiPriority w:val="0"/>
    <w:pPr>
      <w:adjustRightInd w:val="0"/>
      <w:snapToGrid w:val="0"/>
      <w:jc w:val="center"/>
    </w:pPr>
    <w:rPr>
      <w:rFonts w:eastAsia="仿宋_GB2312"/>
      <w:szCs w:val="21"/>
    </w:rPr>
  </w:style>
  <w:style w:type="paragraph" w:customStyle="1" w:styleId="29">
    <w:name w:val="AAA 正文"/>
    <w:next w:val="1"/>
    <w:qFormat/>
    <w:uiPriority w:val="0"/>
    <w:pPr>
      <w:adjustRightInd w:val="0"/>
      <w:snapToGrid w:val="0"/>
      <w:spacing w:line="560" w:lineRule="exact"/>
      <w:ind w:firstLine="640" w:firstLineChars="200"/>
      <w:jc w:val="both"/>
    </w:pPr>
    <w:rPr>
      <w:rFonts w:hint="eastAsia" w:ascii="Times New Roman" w:hAnsi="Times New Roman" w:eastAsia="仿宋_GB2312" w:cs="Times New Roman"/>
      <w:color w:val="000000" w:themeColor="text1"/>
      <w:sz w:val="32"/>
      <w:szCs w:val="32"/>
      <w:lang w:val="en-US" w:eastAsia="zh-CN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34</Pages>
  <Words>2038</Words>
  <Characters>11618</Characters>
  <Lines>96</Lines>
  <Paragraphs>27</Paragraphs>
  <TotalTime>0</TotalTime>
  <ScaleCrop>false</ScaleCrop>
  <LinksUpToDate>false</LinksUpToDate>
  <CharactersWithSpaces>13629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2024-05-04T21:13:00Z</dcterms:created>
  <dc:creator>Kevin Lenovo</dc:creator>
  <cp:lastModifiedBy>admin</cp:lastModifiedBy>
  <cp:lastPrinted>2025-05-12T09:02:00Z</cp:lastPrinted>
  <dcterms:modified xsi:type="dcterms:W3CDTF">2026-02-12T17:03:02Z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