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兵团水利</w:t>
      </w:r>
      <w:r>
        <w:rPr>
          <w:spacing w:val="0"/>
          <w:color w:val="auto"/>
          <w:position w:val="0"/>
          <w:sz w:val="44"/>
          <w:szCs w:val="44"/>
          <w:smallCaps w:val="0"/>
          <w:rFonts w:ascii="方正小标宋简体" w:eastAsia="方正小标宋简体" w:hAnsi="方正小标宋简体" w:hint="default"/>
        </w:rPr>
        <w:t>局关于石河子市化工新材料产业园区</w:t>
      </w:r>
      <w:r>
        <w:rPr>
          <w:spacing w:val="0"/>
          <w:color w:val="auto"/>
          <w:position w:val="0"/>
          <w:sz w:val="44"/>
          <w:szCs w:val="44"/>
          <w:smallCaps w:val="0"/>
          <w:rFonts w:ascii="方正小标宋简体" w:eastAsia="方正小标宋简体" w:hAnsi="方正小标宋简体" w:hint="default"/>
        </w:rPr>
        <w:t>工业废水排入蘑菇湖水库销号的</w:t>
      </w: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情况说明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567"/>
        <w:rPr>
          <w:color w:val="auto"/>
          <w:position w:val="0"/>
          <w:sz w:val="32"/>
          <w:szCs w:val="32"/>
          <w:rFonts w:ascii="方正小标宋简体" w:eastAsia="方正小标宋简体" w:hAnsi="方正小标宋简体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7"/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中央环保督察</w:t>
      </w:r>
      <w:r>
        <w:rPr>
          <w:rStyle w:val="PO1"/>
          <w:spacing w:val="0"/>
          <w:color w:val="0D0D0D"/>
          <w:position w:val="0"/>
          <w:sz w:val="32"/>
          <w:szCs w:val="32"/>
          <w:smallCaps w:val="0"/>
          <w:rFonts w:ascii="仿宋_GB2312" w:eastAsia="仿宋_GB2312" w:hAnsi="仿宋_GB2312" w:hint="default"/>
        </w:rPr>
        <w:t>反馈意见中提出，石河子市化工新材料产业园</w:t>
      </w:r>
      <w:r>
        <w:rPr>
          <w:rStyle w:val="PO1"/>
          <w:spacing w:val="0"/>
          <w:color w:val="0D0D0D"/>
          <w:position w:val="0"/>
          <w:sz w:val="32"/>
          <w:szCs w:val="32"/>
          <w:smallCaps w:val="0"/>
          <w:rFonts w:ascii="仿宋_GB2312" w:eastAsia="仿宋_GB2312" w:hAnsi="仿宋_GB2312" w:hint="default"/>
        </w:rPr>
        <w:t>规划环评批复和园区污水处理再生回用工程环评批复均要求园区</w:t>
      </w:r>
      <w:r>
        <w:rPr>
          <w:rStyle w:val="PO1"/>
          <w:spacing w:val="0"/>
          <w:color w:val="0D0D0D"/>
          <w:position w:val="0"/>
          <w:sz w:val="32"/>
          <w:szCs w:val="32"/>
          <w:smallCaps w:val="0"/>
          <w:rFonts w:ascii="仿宋_GB2312" w:eastAsia="仿宋_GB2312" w:hAnsi="仿宋_GB2312" w:hint="default"/>
        </w:rPr>
        <w:t>综合废水处理后全部回用，严禁工业废水进入地表水系。但督查</w:t>
      </w:r>
      <w:r>
        <w:rPr>
          <w:rStyle w:val="PO1"/>
          <w:spacing w:val="0"/>
          <w:color w:val="0D0D0D"/>
          <w:position w:val="0"/>
          <w:sz w:val="32"/>
          <w:szCs w:val="32"/>
          <w:smallCaps w:val="0"/>
          <w:rFonts w:ascii="仿宋_GB2312" w:eastAsia="仿宋_GB2312" w:hAnsi="仿宋_GB2312" w:hint="default"/>
        </w:rPr>
        <w:t>发现，园区虽然建成中水回用设施，但未能发挥作用。石河子市</w:t>
      </w:r>
      <w:r>
        <w:rPr>
          <w:rStyle w:val="PO1"/>
          <w:spacing w:val="0"/>
          <w:color w:val="0D0D0D"/>
          <w:position w:val="0"/>
          <w:sz w:val="32"/>
          <w:szCs w:val="32"/>
          <w:smallCaps w:val="0"/>
          <w:rFonts w:ascii="仿宋_GB2312" w:eastAsia="仿宋_GB2312" w:hAnsi="仿宋_GB2312" w:hint="default"/>
        </w:rPr>
        <w:t>水利局、环境保护局甚至于2017年7月批准同意园区每天约</w:t>
      </w:r>
      <w:r>
        <w:rPr>
          <w:rStyle w:val="PO1"/>
          <w:spacing w:val="0"/>
          <w:color w:val="0D0D0D"/>
          <w:position w:val="0"/>
          <w:sz w:val="32"/>
          <w:szCs w:val="32"/>
          <w:smallCaps w:val="0"/>
          <w:rFonts w:ascii="仿宋_GB2312" w:eastAsia="仿宋_GB2312" w:hAnsi="仿宋_GB2312" w:hint="default"/>
        </w:rPr>
        <w:t>4000吨工业废水排入蘑菇湖水库，加剧了蘑菇湖水库污染。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就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督察组反馈的问题我们进行了及时整改，现将整改情况说明如下。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7"/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一、督促第八师水利（水务局）局及时下发《关于撤销&lt;关于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石河子开发区化工新材料园区污水处理及再生回用工程入河排污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口设置的批复&gt;及相关事宜的通知》（石水字</w:t>
      </w:r>
      <w:r>
        <w:rPr>
          <w:color w:val="auto"/>
          <w:position w:val="0"/>
          <w:sz w:val="32"/>
          <w:szCs w:val="32"/>
          <w:highlight w:val="none"/>
          <w:rFonts w:ascii="仿宋_GB2312" w:eastAsia="仿宋_GB2312" w:hAnsi="仿宋_GB2312" w:hint="default"/>
        </w:rPr>
        <w:t>【2017】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195号），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撤销新材料园区污水处理厂入河排污口的批复文件。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7"/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二、责成石河子市开发区管委会督促赛德环保科技有限公司</w:t>
      </w:r>
      <w:r>
        <w:rPr>
          <w:rStyle w:val="PO1"/>
          <w:spacing w:val="0"/>
          <w:color w:val="0D0D0D"/>
          <w:position w:val="0"/>
          <w:sz w:val="32"/>
          <w:szCs w:val="32"/>
          <w:rFonts w:ascii="仿宋_GB2312" w:eastAsia="仿宋_GB2312" w:hAnsi="仿宋_GB2312" w:hint="default"/>
        </w:rPr>
        <w:t>封堵化工新材料园区蘑菇湖水库排污口。</w:t>
      </w: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7"/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0"/>
        <w:ind w:right="0" w:firstLine="567"/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4081"/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兵团水利局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4081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  <w:autoSpaceDE w:val="1"/>
        <w:autoSpaceDN w:val="1"/>
      </w:pPr>
      <w:r>
        <w:rPr>
          <w:spacing w:val="0"/>
          <w:color w:val="auto"/>
          <w:position w:val="0"/>
          <w:sz w:val="32"/>
          <w:szCs w:val="32"/>
          <w:smallCaps w:val="0"/>
          <w:rFonts w:ascii="仿宋_GB2312" w:eastAsia="仿宋_GB2312" w:hAnsi="仿宋_GB2312" w:hint="default"/>
        </w:rPr>
        <w:t>2018年7月20日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7lian</dc:creator>
  <cp:lastModifiedBy/>
</cp:coreProperties>
</file>